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33AF" w14:textId="77777777" w:rsidR="00677505" w:rsidRDefault="00000000">
      <w:pPr>
        <w:spacing w:after="20"/>
        <w:jc w:val="center"/>
      </w:pPr>
      <w:r>
        <w:rPr>
          <w:b/>
          <w:color w:val="17365D"/>
          <w:sz w:val="18"/>
        </w:rPr>
        <w:t>PUBLIC NOTICE AND REQUEST FOR PROPOSALS</w:t>
      </w:r>
    </w:p>
    <w:p w14:paraId="3E9C722D" w14:textId="77777777" w:rsidR="00677505" w:rsidRDefault="00000000">
      <w:pPr>
        <w:spacing w:after="100"/>
        <w:jc w:val="center"/>
      </w:pPr>
      <w:r>
        <w:rPr>
          <w:b/>
          <w:color w:val="17365D"/>
          <w:sz w:val="30"/>
        </w:rPr>
        <w:t>FY 2026 Continuum of Care Local Competition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677505" w14:paraId="122BECD1" w14:textId="77777777">
        <w:trPr>
          <w:jc w:val="center"/>
        </w:trPr>
        <w:tc>
          <w:tcPr>
            <w:tcW w:w="9792" w:type="dxa"/>
            <w:shd w:val="clear" w:color="auto" w:fill="FFF2CC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2D50BA1" w14:textId="77777777" w:rsidR="00677505" w:rsidRDefault="00000000">
            <w:pPr>
              <w:spacing w:after="0"/>
            </w:pPr>
            <w:r>
              <w:rPr>
                <w:sz w:val="16"/>
              </w:rPr>
              <w:t>New and renewal local project applications are due July 31, 2026, at 11:59 p.m. Eastern Time.</w:t>
            </w:r>
          </w:p>
        </w:tc>
      </w:tr>
    </w:tbl>
    <w:p w14:paraId="3A28D2C9" w14:textId="77777777" w:rsidR="00677505" w:rsidRDefault="00000000">
      <w:pPr>
        <w:spacing w:before="80" w:after="40"/>
      </w:pPr>
      <w:r>
        <w:rPr>
          <w:b/>
          <w:color w:val="17365D"/>
          <w:sz w:val="21"/>
        </w:rPr>
        <w:t>Overview</w:t>
      </w:r>
    </w:p>
    <w:p w14:paraId="55466861" w14:textId="68B0415A" w:rsidR="00677505" w:rsidRPr="00474891" w:rsidRDefault="00000000">
      <w:pPr>
        <w:spacing w:after="40"/>
      </w:pPr>
      <w:r w:rsidRPr="00474891">
        <w:rPr>
          <w:sz w:val="16"/>
        </w:rPr>
        <w:t>Scranton Lackawanna Continuum of Care (PA-508) applies for funds under the United States Department of Housing and Urban Development (HUD) Continuum of Care Notice of Funding Opportunity. The Continuum of Care application includes a community strategy to prevent and ultimately end homelessness in Scranton and Lackawanna County along with data and outcomes related to local initiatives. PA-508 submits renewal applications for existing high-performing programs and new applications created by reallocation or bonus.</w:t>
      </w:r>
    </w:p>
    <w:p w14:paraId="091F29A8" w14:textId="77777777" w:rsidR="00677505" w:rsidRPr="00474891" w:rsidRDefault="00000000">
      <w:pPr>
        <w:spacing w:after="40"/>
      </w:pPr>
      <w:r w:rsidRPr="00474891">
        <w:rPr>
          <w:sz w:val="16"/>
        </w:rPr>
        <w:t>PA-508 has approximately $4,375,959 available for new and renewal funding. This amount is preliminary and subject to change after HUD publishes the FY 2026 Annual Renewal Demand Report and final PPRN/FPRN information.</w:t>
      </w:r>
    </w:p>
    <w:p w14:paraId="0B8DD266" w14:textId="77777777" w:rsidR="00677505" w:rsidRPr="00474891" w:rsidRDefault="00000000">
      <w:pPr>
        <w:spacing w:after="40"/>
      </w:pPr>
      <w:r w:rsidRPr="00474891">
        <w:rPr>
          <w:sz w:val="16"/>
        </w:rPr>
        <w:t>Applications, scoring rubrics, the reallocation policy, scoring guide, and public competition timeline are available at [INSERT ACTIVE LINK] under 2026 CoC Documents. If you are unable to access the page, contact Alex Lester at alester@uncnepa.org.</w:t>
      </w:r>
    </w:p>
    <w:p w14:paraId="5ACD47A7" w14:textId="77777777" w:rsidR="00677505" w:rsidRPr="00474891" w:rsidRDefault="00000000">
      <w:pPr>
        <w:spacing w:before="80" w:after="40"/>
      </w:pPr>
      <w:r w:rsidRPr="00474891">
        <w:rPr>
          <w:b/>
          <w:color w:val="17365D"/>
          <w:sz w:val="21"/>
        </w:rPr>
        <w:t>Eligible Project Types</w:t>
      </w:r>
    </w:p>
    <w:p w14:paraId="1042BF24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New Rapid Re-Housing programs;</w:t>
      </w:r>
    </w:p>
    <w:p w14:paraId="6BAB8A03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New Permanent Supportive Housing programs for households where an adult member has a disability;</w:t>
      </w:r>
    </w:p>
    <w:p w14:paraId="2EDA8F4D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Transitional Housing projects;</w:t>
      </w:r>
    </w:p>
    <w:p w14:paraId="11B83A58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Supportive Services Only projects, including Outreach, Stand-Alone, and DV Coordinated Entry; and</w:t>
      </w:r>
    </w:p>
    <w:p w14:paraId="63A2EC60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Eligible renewal, expansion, reallocation, and transition grant applications.</w:t>
      </w:r>
    </w:p>
    <w:p w14:paraId="7C5317BB" w14:textId="77777777" w:rsidR="00677505" w:rsidRPr="00474891" w:rsidRDefault="00000000">
      <w:pPr>
        <w:spacing w:before="80" w:after="40"/>
      </w:pPr>
      <w:r w:rsidRPr="00474891">
        <w:rPr>
          <w:b/>
          <w:color w:val="17365D"/>
          <w:sz w:val="21"/>
        </w:rPr>
        <w:t>Preliminary Bonus Estimates</w:t>
      </w:r>
    </w:p>
    <w:p w14:paraId="1AC2609D" w14:textId="77777777" w:rsidR="00677505" w:rsidRPr="00474891" w:rsidRDefault="00000000">
      <w:pPr>
        <w:spacing w:after="40"/>
      </w:pPr>
      <w:r w:rsidRPr="00474891">
        <w:rPr>
          <w:sz w:val="16"/>
        </w:rPr>
        <w:t>Using the FY 2024 PA-508 PPRN and FPRN of $3,966,431 as a planning estimate only, the estimated regular CoC Bonus is approximately $594,965 and the estimated DV Bonus is approximately $793,286. These estimates are subject to change when HUD releases FY 2026 values.</w:t>
      </w:r>
    </w:p>
    <w:p w14:paraId="2E012E4B" w14:textId="77777777" w:rsidR="00677505" w:rsidRPr="00474891" w:rsidRDefault="00000000">
      <w:pPr>
        <w:spacing w:before="80" w:after="40"/>
      </w:pPr>
      <w:r w:rsidRPr="00474891">
        <w:rPr>
          <w:b/>
          <w:color w:val="17365D"/>
          <w:sz w:val="21"/>
        </w:rPr>
        <w:t>Local Priorities</w:t>
      </w:r>
    </w:p>
    <w:p w14:paraId="7E59C31E" w14:textId="77777777" w:rsidR="00677505" w:rsidRPr="00474891" w:rsidRDefault="00000000">
      <w:pPr>
        <w:spacing w:after="40"/>
      </w:pPr>
      <w:r w:rsidRPr="00474891">
        <w:rPr>
          <w:sz w:val="16"/>
        </w:rPr>
        <w:t>Preference will be given to eligible new Transitional Housing and Supportive Services Only projects that respond to documented local system gaps and improve system performance.</w:t>
      </w:r>
    </w:p>
    <w:p w14:paraId="549F47DD" w14:textId="77777777" w:rsidR="00677505" w:rsidRPr="00474891" w:rsidRDefault="00000000">
      <w:pPr>
        <w:spacing w:after="40"/>
      </w:pPr>
      <w:r w:rsidRPr="00474891">
        <w:rPr>
          <w:sz w:val="16"/>
        </w:rPr>
        <w:t>Initial ranking will be based on the published scoring rubrics. If projects receive the same final score, the tie-breaking process in the Reallocation Policy will apply, including consideration of alignment with published local priorities.</w:t>
      </w:r>
    </w:p>
    <w:p w14:paraId="7D94CDC3" w14:textId="77777777" w:rsidR="00677505" w:rsidRPr="00474891" w:rsidRDefault="00000000">
      <w:pPr>
        <w:spacing w:before="80" w:after="40"/>
      </w:pPr>
      <w:r w:rsidRPr="00474891">
        <w:rPr>
          <w:b/>
          <w:color w:val="17365D"/>
          <w:sz w:val="21"/>
        </w:rPr>
        <w:t>Applicants and Requirements</w:t>
      </w:r>
    </w:p>
    <w:p w14:paraId="50A6A1EF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Eligible nonprofit organizations, including faith-based organizations, public housing authorities, and units of local government may apply.</w:t>
      </w:r>
    </w:p>
    <w:p w14:paraId="239F1D7A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Applicants must have a current UEI and active SAM.gov registration.</w:t>
      </w:r>
    </w:p>
    <w:p w14:paraId="2A3A8805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Selected applicants must complete an e-snaps applicant profile and project application.</w:t>
      </w:r>
    </w:p>
    <w:p w14:paraId="2280F239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Eligible budget line items depend on the proposed component and must comply with the FY 2026 NOFO and 24 CFR part 578.</w:t>
      </w:r>
    </w:p>
    <w:p w14:paraId="47D93658" w14:textId="77777777" w:rsidR="00677505" w:rsidRPr="00474891" w:rsidRDefault="00000000">
      <w:pPr>
        <w:pStyle w:val="ListBullet"/>
        <w:spacing w:after="0"/>
        <w:ind w:left="259" w:hanging="144"/>
      </w:pPr>
      <w:r w:rsidRPr="00474891">
        <w:rPr>
          <w:sz w:val="16"/>
        </w:rPr>
        <w:t>A 25% match is required for all grant funds except leasing; administrative costs may not exceed 10%.</w:t>
      </w:r>
    </w:p>
    <w:p w14:paraId="7306AC4D" w14:textId="77777777" w:rsidR="00677505" w:rsidRPr="00474891" w:rsidRDefault="00000000">
      <w:pPr>
        <w:spacing w:before="80" w:after="40"/>
      </w:pPr>
      <w:r w:rsidRPr="00474891">
        <w:rPr>
          <w:b/>
          <w:color w:val="17365D"/>
          <w:sz w:val="21"/>
        </w:rPr>
        <w:t>Selection and Notification</w:t>
      </w:r>
    </w:p>
    <w:p w14:paraId="620CFA1C" w14:textId="77777777" w:rsidR="00677505" w:rsidRPr="00474891" w:rsidRDefault="00000000">
      <w:pPr>
        <w:spacing w:after="40"/>
      </w:pPr>
      <w:r w:rsidRPr="00474891">
        <w:rPr>
          <w:sz w:val="16"/>
        </w:rPr>
        <w:t>Eligible applications will be reviewed and scored by an unbiased review committee using the published scoring criteria and the PA-508 Scoring Guide. PA-508 may accept, reject, reduce, or reallocate requests based on score, system priorities, available funding, and HUD requirements.</w:t>
      </w:r>
    </w:p>
    <w:p w14:paraId="26E3F2FE" w14:textId="77777777" w:rsidR="00677505" w:rsidRPr="00474891" w:rsidRDefault="00000000">
      <w:pPr>
        <w:spacing w:after="40"/>
      </w:pPr>
      <w:r w:rsidRPr="00474891">
        <w:rPr>
          <w:sz w:val="16"/>
        </w:rPr>
        <w:t>Preliminary decisions are expected August 7, 2026.</w:t>
      </w:r>
    </w:p>
    <w:p w14:paraId="11EDC68E" w14:textId="77777777" w:rsidR="00677505" w:rsidRPr="00474891" w:rsidRDefault="00000000">
      <w:pPr>
        <w:spacing w:after="40"/>
      </w:pPr>
      <w:r w:rsidRPr="00474891">
        <w:rPr>
          <w:sz w:val="16"/>
        </w:rPr>
        <w:t>Requests for reconsideration must be submitted by August 9, 2026, at 5:00 p.m. Eastern Time and are limited to factual, mathematical, conflict-of-interest, or procedural errors.</w:t>
      </w:r>
    </w:p>
    <w:p w14:paraId="69E6E59D" w14:textId="77777777" w:rsidR="00677505" w:rsidRPr="00474891" w:rsidRDefault="00000000">
      <w:pPr>
        <w:spacing w:after="40"/>
      </w:pPr>
      <w:r w:rsidRPr="00474891">
        <w:rPr>
          <w:sz w:val="16"/>
        </w:rPr>
        <w:t>Final written notices will be issued no later than August 10, 2026, outside e-snaps. Each notice will state whether the application was accepted and ranked, rejected, or reduced. Accepted applicants will receive their final rank; rejected or reduced applicants will receive the reason(s) for the decision.</w:t>
      </w:r>
    </w:p>
    <w:p w14:paraId="5A03A26F" w14:textId="77777777" w:rsidR="00677505" w:rsidRPr="00474891" w:rsidRDefault="00000000">
      <w:pPr>
        <w:spacing w:before="80" w:after="40"/>
      </w:pPr>
      <w:r w:rsidRPr="00474891">
        <w:rPr>
          <w:b/>
          <w:color w:val="17365D"/>
          <w:sz w:val="21"/>
        </w:rPr>
        <w:t>Public Posting</w:t>
      </w:r>
    </w:p>
    <w:p w14:paraId="587B5377" w14:textId="77777777" w:rsidR="00677505" w:rsidRPr="00474891" w:rsidRDefault="00000000">
      <w:pPr>
        <w:spacing w:after="40"/>
      </w:pPr>
      <w:r w:rsidRPr="00474891">
        <w:rPr>
          <w:sz w:val="16"/>
        </w:rPr>
        <w:t>Before HUD's August 26, 2026 deadline, PA-508 will publicly post the CoC Consolidated Application and Project Priority Listing and notify community members and key stakeholders.</w:t>
      </w:r>
    </w:p>
    <w:p w14:paraId="0E3DDF97" w14:textId="77777777" w:rsidR="00677505" w:rsidRPr="00474891" w:rsidRDefault="00000000">
      <w:pPr>
        <w:spacing w:before="80" w:after="40"/>
      </w:pPr>
      <w:r w:rsidRPr="00474891">
        <w:rPr>
          <w:b/>
          <w:color w:val="17365D"/>
          <w:sz w:val="21"/>
        </w:rPr>
        <w:t>Contact</w:t>
      </w:r>
    </w:p>
    <w:p w14:paraId="76B751C9" w14:textId="77777777" w:rsidR="00677505" w:rsidRDefault="00000000">
      <w:pPr>
        <w:spacing w:after="40"/>
      </w:pPr>
      <w:r w:rsidRPr="00474891">
        <w:rPr>
          <w:sz w:val="16"/>
        </w:rPr>
        <w:t>Alex Lester | United Neighborhood Centers of Northeastern Pennsylvania | alester@uncnepa.org</w:t>
      </w:r>
    </w:p>
    <w:sectPr w:rsidR="00677505" w:rsidSect="00034616">
      <w:headerReference w:type="default" r:id="rId8"/>
      <w:footerReference w:type="default" r:id="rId9"/>
      <w:pgSz w:w="12240" w:h="15840"/>
      <w:pgMar w:top="691" w:right="936" w:bottom="691" w:left="93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7EC5" w14:textId="77777777" w:rsidR="002B18B7" w:rsidRDefault="002B18B7">
      <w:pPr>
        <w:spacing w:after="0" w:line="240" w:lineRule="auto"/>
      </w:pPr>
      <w:r>
        <w:separator/>
      </w:r>
    </w:p>
  </w:endnote>
  <w:endnote w:type="continuationSeparator" w:id="0">
    <w:p w14:paraId="463735BD" w14:textId="77777777" w:rsidR="002B18B7" w:rsidRDefault="002B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25F0" w14:textId="77777777" w:rsidR="00677505" w:rsidRDefault="00000000">
    <w:pPr>
      <w:pStyle w:val="Footer"/>
      <w:jc w:val="center"/>
    </w:pPr>
    <w:r>
      <w:rPr>
        <w:color w:val="646464"/>
        <w:sz w:val="14"/>
      </w:rPr>
      <w:t>FY 2026 Local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3B1C" w14:textId="77777777" w:rsidR="002B18B7" w:rsidRDefault="002B18B7">
      <w:pPr>
        <w:spacing w:after="0" w:line="240" w:lineRule="auto"/>
      </w:pPr>
      <w:r>
        <w:separator/>
      </w:r>
    </w:p>
  </w:footnote>
  <w:footnote w:type="continuationSeparator" w:id="0">
    <w:p w14:paraId="22BEB287" w14:textId="77777777" w:rsidR="002B18B7" w:rsidRDefault="002B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958A" w14:textId="77777777" w:rsidR="00677505" w:rsidRDefault="00000000">
    <w:pPr>
      <w:pStyle w:val="Header"/>
      <w:jc w:val="right"/>
    </w:pPr>
    <w:r>
      <w:rPr>
        <w:color w:val="646464"/>
        <w:sz w:val="14"/>
      </w:rPr>
      <w:t>PA-508 Scranton/Lackawanna County Continuum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543113">
    <w:abstractNumId w:val="8"/>
  </w:num>
  <w:num w:numId="2" w16cid:durableId="2123262336">
    <w:abstractNumId w:val="6"/>
  </w:num>
  <w:num w:numId="3" w16cid:durableId="1252617031">
    <w:abstractNumId w:val="5"/>
  </w:num>
  <w:num w:numId="4" w16cid:durableId="1788936893">
    <w:abstractNumId w:val="4"/>
  </w:num>
  <w:num w:numId="5" w16cid:durableId="259879589">
    <w:abstractNumId w:val="7"/>
  </w:num>
  <w:num w:numId="6" w16cid:durableId="1173375143">
    <w:abstractNumId w:val="3"/>
  </w:num>
  <w:num w:numId="7" w16cid:durableId="1524513296">
    <w:abstractNumId w:val="2"/>
  </w:num>
  <w:num w:numId="8" w16cid:durableId="1218783707">
    <w:abstractNumId w:val="1"/>
  </w:num>
  <w:num w:numId="9" w16cid:durableId="128380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18B7"/>
    <w:rsid w:val="00326F90"/>
    <w:rsid w:val="00474891"/>
    <w:rsid w:val="00677505"/>
    <w:rsid w:val="00A624B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45EEB"/>
  <w14:defaultImageDpi w14:val="300"/>
  <w15:docId w15:val="{9D7B128E-5F16-4BF9-ABC5-A25B81D9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Stickel</cp:lastModifiedBy>
  <cp:revision>2</cp:revision>
  <dcterms:created xsi:type="dcterms:W3CDTF">2026-07-14T17:46:00Z</dcterms:created>
  <dcterms:modified xsi:type="dcterms:W3CDTF">2026-07-14T17:46:00Z</dcterms:modified>
  <cp:category/>
</cp:coreProperties>
</file>