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</w:pPr>
      <w:r>
        <w:rPr>
          <w:b/>
          <w:color w:val="17365D"/>
          <w:sz w:val="18"/>
        </w:rPr>
        <w:t>PA-508 LOCAL COMPETITION TRAINING HANDOUT</w:t>
      </w:r>
    </w:p>
    <w:p>
      <w:pPr>
        <w:spacing w:after="100"/>
        <w:jc w:val="center"/>
      </w:pPr>
      <w:r>
        <w:rPr>
          <w:b/>
          <w:color w:val="17365D"/>
          <w:sz w:val="34"/>
        </w:rPr>
        <w:t>FY 2026 New Project Applicant Guide</w:t>
      </w:r>
    </w:p>
    <w:tbl>
      <w:tblPr>
        <w:tblW w:type="dxa" w:w="9792"/>
        <w:jc w:val="center"/>
        <w:tblLook w:firstColumn="1" w:firstRow="1" w:lastColumn="0" w:lastRow="0" w:noHBand="0" w:noVBand="1" w:val="04A0"/>
        <w:tblLayout w:type="fixed"/>
        <w:tblInd w:w="0" w:type="dxa"/>
      </w:tblPr>
      <w:tblGrid>
        <w:gridCol w:w="9792"/>
      </w:tblGrid>
      <w:tr>
        <w:tc>
          <w:tcPr>
            <w:tcW w:type="dxa" w:w="9792"/>
            <w:shd w:fill="FFF2CC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0"/>
            </w:pPr>
            <w:r>
              <w:rPr>
                <w:sz w:val="17"/>
              </w:rPr>
              <w:t>Use this guide with the PA-508 application, applicable scoring rubric, scoring guide, and public timeline.</w:t>
            </w:r>
          </w:p>
        </w:tc>
      </w:tr>
    </w:tbl>
    <w:p>
      <w:pPr>
        <w:spacing w:before="120" w:after="40"/>
      </w:pPr>
      <w:r>
        <w:rPr>
          <w:b/>
          <w:color w:val="17365D"/>
          <w:sz w:val="22"/>
        </w:rPr>
        <w:t>What Counts as a New Project</w:t>
      </w:r>
    </w:p>
    <w:p>
      <w:pPr>
        <w:pStyle w:val="ListBullet"/>
        <w:spacing w:after="0"/>
        <w:ind w:left="288" w:hanging="173"/>
      </w:pPr>
      <w:r>
        <w:rPr>
          <w:sz w:val="17"/>
        </w:rPr>
        <w:t>A project created through the regular CoC Bonus;</w:t>
      </w:r>
    </w:p>
    <w:p>
      <w:pPr>
        <w:pStyle w:val="ListBullet"/>
        <w:spacing w:after="0"/>
        <w:ind w:left="288" w:hanging="173"/>
      </w:pPr>
      <w:r>
        <w:rPr>
          <w:sz w:val="17"/>
        </w:rPr>
        <w:t>A project created through full or partial reallocation of an eligible renewal;</w:t>
      </w:r>
    </w:p>
    <w:p>
      <w:pPr>
        <w:pStyle w:val="ListBullet"/>
        <w:spacing w:after="0"/>
        <w:ind w:left="288" w:hanging="173"/>
      </w:pPr>
      <w:r>
        <w:rPr>
          <w:sz w:val="17"/>
        </w:rPr>
        <w:t>A DV Bonus or DV Reallocation project;</w:t>
      </w:r>
    </w:p>
    <w:p>
      <w:pPr>
        <w:pStyle w:val="ListBullet"/>
        <w:spacing w:after="0"/>
        <w:ind w:left="288" w:hanging="173"/>
      </w:pPr>
      <w:r>
        <w:rPr>
          <w:sz w:val="17"/>
        </w:rPr>
        <w:t>An expansion of an eligible renewal project;</w:t>
      </w:r>
    </w:p>
    <w:p>
      <w:pPr>
        <w:pStyle w:val="ListBullet"/>
        <w:spacing w:after="0"/>
        <w:ind w:left="288" w:hanging="173"/>
      </w:pPr>
      <w:r>
        <w:rPr>
          <w:sz w:val="17"/>
        </w:rPr>
        <w:t>A transition grant that changes an eligible renewal from one component to another; or</w:t>
      </w:r>
    </w:p>
    <w:p>
      <w:pPr>
        <w:pStyle w:val="ListBullet"/>
        <w:spacing w:after="0"/>
        <w:ind w:left="288" w:hanging="173"/>
      </w:pPr>
      <w:r>
        <w:rPr>
          <w:sz w:val="17"/>
        </w:rPr>
        <w:t>An eligible YHDP Replacement project, when applicable.</w:t>
      </w:r>
    </w:p>
    <w:p>
      <w:pPr>
        <w:spacing w:before="120" w:after="40"/>
      </w:pPr>
      <w:r>
        <w:rPr>
          <w:b/>
          <w:color w:val="17365D"/>
          <w:sz w:val="22"/>
        </w:rPr>
        <w:t>Eligible New Components</w:t>
      </w:r>
    </w:p>
    <w:tbl>
      <w:tblPr>
        <w:tblW w:type="dxa" w:w="9792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3174"/>
        <w:gridCol w:w="6618"/>
      </w:tblGrid>
      <w:tr>
        <w:tc>
          <w:tcPr>
            <w:tcW w:type="dxa" w:w="3174"/>
            <w:shd w:fill="17365D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after="0"/>
            </w:pPr>
            <w:r>
              <w:rPr>
                <w:b/>
                <w:color w:val="FFFFFF"/>
                <w:sz w:val="15"/>
              </w:rPr>
              <w:t>COMPONENT</w:t>
            </w:r>
          </w:p>
        </w:tc>
        <w:tc>
          <w:tcPr>
            <w:tcW w:type="dxa" w:w="6618"/>
            <w:shd w:fill="17365D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after="0"/>
            </w:pPr>
            <w:r>
              <w:rPr>
                <w:b/>
                <w:color w:val="FFFFFF"/>
                <w:sz w:val="15"/>
              </w:rPr>
              <w:t>CORE PURPOSE</w:t>
            </w:r>
          </w:p>
        </w:tc>
      </w:tr>
      <w:tr>
        <w:trPr>
          <w:cantSplit/>
        </w:trPr>
        <w:tc>
          <w:tcPr>
            <w:tcW w:type="dxa" w:w="3174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Transitional Housing</w:t>
            </w:r>
          </w:p>
        </w:tc>
        <w:tc>
          <w:tcPr>
            <w:tcW w:type="dxa" w:w="6618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Time-limited housing with supportive services designed to help participants exit homelessness within 24 months.</w:t>
            </w:r>
          </w:p>
        </w:tc>
      </w:tr>
      <w:tr>
        <w:trPr>
          <w:cantSplit/>
        </w:trPr>
        <w:tc>
          <w:tcPr>
            <w:tcW w:type="dxa" w:w="3174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Supportive Services Only, Stand-Alone</w:t>
            </w:r>
          </w:p>
        </w:tc>
        <w:tc>
          <w:tcPr>
            <w:tcW w:type="dxa" w:w="6618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Services that address barriers to housing, support exits from homelessness, and increase self-sufficiency.</w:t>
            </w:r>
          </w:p>
        </w:tc>
      </w:tr>
      <w:tr>
        <w:trPr>
          <w:cantSplit/>
        </w:trPr>
        <w:tc>
          <w:tcPr>
            <w:tcW w:type="dxa" w:w="3174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Supportive Services Only, Street Outreach</w:t>
            </w:r>
          </w:p>
        </w:tc>
        <w:tc>
          <w:tcPr>
            <w:tcW w:type="dxa" w:w="6618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Outreach and engagement for persons primarily residing in places not meant for human habitation.</w:t>
            </w:r>
          </w:p>
        </w:tc>
      </w:tr>
      <w:tr>
        <w:trPr>
          <w:cantSplit/>
        </w:trPr>
        <w:tc>
          <w:tcPr>
            <w:tcW w:type="dxa" w:w="3174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Supportive Services Only, Coordinated Entry</w:t>
            </w:r>
          </w:p>
        </w:tc>
        <w:tc>
          <w:tcPr>
            <w:tcW w:type="dxa" w:w="6618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Development or operation of the CoC's Coordinated Entry system.</w:t>
            </w:r>
          </w:p>
        </w:tc>
      </w:tr>
      <w:tr>
        <w:trPr>
          <w:cantSplit/>
        </w:trPr>
        <w:tc>
          <w:tcPr>
            <w:tcW w:type="dxa" w:w="3174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Permanent Supportive Housing</w:t>
            </w:r>
          </w:p>
        </w:tc>
        <w:tc>
          <w:tcPr>
            <w:tcW w:type="dxa" w:w="6618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Permanent housing for eligible households in which the head of household has a qualifying disability.</w:t>
            </w:r>
          </w:p>
        </w:tc>
      </w:tr>
      <w:tr>
        <w:trPr>
          <w:cantSplit/>
        </w:trPr>
        <w:tc>
          <w:tcPr>
            <w:tcW w:type="dxa" w:w="3174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Rapid Re-Housing</w:t>
            </w:r>
          </w:p>
        </w:tc>
        <w:tc>
          <w:tcPr>
            <w:tcW w:type="dxa" w:w="6618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Short- or medium-term tenant-based rental assistance and supportive services.</w:t>
            </w:r>
          </w:p>
        </w:tc>
      </w:tr>
      <w:tr>
        <w:trPr>
          <w:cantSplit/>
        </w:trPr>
        <w:tc>
          <w:tcPr>
            <w:tcW w:type="dxa" w:w="3174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Dedicated HMIS</w:t>
            </w:r>
          </w:p>
        </w:tc>
        <w:tc>
          <w:tcPr>
            <w:tcW w:type="dxa" w:w="6618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Eligible HMIS activities carried out by the HMIS Lead.</w:t>
            </w:r>
          </w:p>
        </w:tc>
      </w:tr>
    </w:tbl>
    <w:p>
      <w:pPr>
        <w:spacing w:before="120" w:after="40"/>
      </w:pPr>
      <w:r>
        <w:rPr>
          <w:b/>
          <w:color w:val="17365D"/>
          <w:sz w:val="22"/>
        </w:rPr>
        <w:t>Important New-Project Rules</w:t>
      </w:r>
    </w:p>
    <w:p>
      <w:pPr>
        <w:pStyle w:val="ListBullet"/>
        <w:spacing w:after="0"/>
        <w:ind w:left="288" w:hanging="173"/>
      </w:pPr>
      <w:r>
        <w:rPr>
          <w:sz w:val="17"/>
        </w:rPr>
        <w:t>New standard RRH uses tenant-based rental assistance. It is not required to use master leasing.</w:t>
      </w:r>
    </w:p>
    <w:p>
      <w:pPr>
        <w:pStyle w:val="ListBullet"/>
        <w:spacing w:after="0"/>
        <w:ind w:left="288" w:hanging="173"/>
      </w:pPr>
      <w:r>
        <w:rPr>
          <w:sz w:val="17"/>
        </w:rPr>
        <w:t>New Joint TH/PH-RRH applications are not eligible in FY 2026.</w:t>
      </w:r>
    </w:p>
    <w:p>
      <w:pPr>
        <w:pStyle w:val="ListBullet"/>
        <w:spacing w:after="0"/>
        <w:ind w:left="288" w:hanging="173"/>
      </w:pPr>
      <w:r>
        <w:rPr>
          <w:sz w:val="17"/>
        </w:rPr>
        <w:t>New rental-assistance applications must request the full applicable FMR per unit.</w:t>
      </w:r>
    </w:p>
    <w:p>
      <w:pPr>
        <w:pStyle w:val="ListBullet"/>
        <w:spacing w:after="0"/>
        <w:ind w:left="288" w:hanging="173"/>
      </w:pPr>
      <w:r>
        <w:rPr>
          <w:sz w:val="17"/>
        </w:rPr>
        <w:t>New projects must meet both PA-508's local scoring requirements and HUD's component-specific quality threshold.</w:t>
      </w:r>
    </w:p>
    <w:p>
      <w:pPr>
        <w:pStyle w:val="ListBullet"/>
        <w:spacing w:after="0"/>
        <w:ind w:left="288" w:hanging="173"/>
      </w:pPr>
      <w:r>
        <w:rPr>
          <w:sz w:val="17"/>
        </w:rPr>
        <w:t>Projects created through reallocation are still treated as new projects.</w:t>
      </w:r>
    </w:p>
    <w:p>
      <w:pPr>
        <w:pStyle w:val="ListBullet"/>
        <w:spacing w:after="0"/>
        <w:ind w:left="288" w:hanging="173"/>
      </w:pPr>
      <w:r>
        <w:rPr>
          <w:sz w:val="17"/>
        </w:rPr>
        <w:t>An expansion application must be submitted separately from the renewal being expanded.</w:t>
      </w:r>
    </w:p>
    <w:p>
      <w:pPr>
        <w:pStyle w:val="ListBullet"/>
        <w:spacing w:after="0"/>
        <w:ind w:left="288" w:hanging="173"/>
      </w:pPr>
      <w:r>
        <w:rPr>
          <w:sz w:val="17"/>
        </w:rPr>
        <w:t>DV Bonus and DV Reallocation are limited to eligible TH, PH-RRH, and SSO-Coordinated Entry projects dedicated to eligible survivors.</w:t>
      </w:r>
    </w:p>
    <w:p>
      <w:pPr>
        <w:spacing w:before="120" w:after="40"/>
      </w:pPr>
      <w:r>
        <w:rPr>
          <w:b/>
          <w:color w:val="17365D"/>
          <w:sz w:val="22"/>
        </w:rPr>
        <w:t>Minimum Threshold Checklist</w:t>
      </w:r>
    </w:p>
    <w:tbl>
      <w:tblPr>
        <w:tblW w:type="dxa" w:w="9792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8827"/>
        <w:gridCol w:w="965"/>
      </w:tblGrid>
      <w:tr>
        <w:tc>
          <w:tcPr>
            <w:tcW w:type="dxa" w:w="8827"/>
            <w:shd w:fill="17365D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after="0"/>
            </w:pPr>
            <w:r>
              <w:rPr>
                <w:b/>
                <w:color w:val="FFFFFF"/>
                <w:sz w:val="15"/>
              </w:rPr>
              <w:t>REQUIREMENT</w:t>
            </w:r>
          </w:p>
        </w:tc>
        <w:tc>
          <w:tcPr>
            <w:tcW w:type="dxa" w:w="965"/>
            <w:shd w:fill="17365D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after="0"/>
            </w:pPr>
            <w:r>
              <w:rPr>
                <w:b/>
                <w:color w:val="FFFFFF"/>
                <w:sz w:val="15"/>
              </w:rPr>
              <w:t>CHECK</w:t>
            </w:r>
          </w:p>
        </w:tc>
      </w:tr>
      <w:tr>
        <w:trPr>
          <w:cantSplit/>
        </w:trPr>
        <w:tc>
          <w:tcPr>
            <w:tcW w:type="dxa" w:w="8827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Eligible applicant and subrecipient documentation, if applicable</w:t>
            </w:r>
          </w:p>
        </w:tc>
        <w:tc>
          <w:tcPr>
            <w:tcW w:type="dxa" w:w="965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☐</w:t>
            </w:r>
          </w:p>
        </w:tc>
      </w:tr>
      <w:tr>
        <w:trPr>
          <w:cantSplit/>
        </w:trPr>
        <w:tc>
          <w:tcPr>
            <w:tcW w:type="dxa" w:w="8827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Active SAM.gov registration and valid UEI</w:t>
            </w:r>
          </w:p>
        </w:tc>
        <w:tc>
          <w:tcPr>
            <w:tcW w:type="dxa" w:w="965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☐</w:t>
            </w:r>
          </w:p>
        </w:tc>
      </w:tr>
      <w:tr>
        <w:trPr>
          <w:cantSplit/>
        </w:trPr>
        <w:tc>
          <w:tcPr>
            <w:tcW w:type="dxa" w:w="8827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Eligible component, population, activities, and costs</w:t>
            </w:r>
          </w:p>
        </w:tc>
        <w:tc>
          <w:tcPr>
            <w:tcW w:type="dxa" w:w="965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☐</w:t>
            </w:r>
          </w:p>
        </w:tc>
      </w:tr>
      <w:tr>
        <w:trPr>
          <w:cantSplit/>
        </w:trPr>
        <w:tc>
          <w:tcPr>
            <w:tcW w:type="dxa" w:w="8827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Financial and management capacity</w:t>
            </w:r>
          </w:p>
        </w:tc>
        <w:tc>
          <w:tcPr>
            <w:tcW w:type="dxa" w:w="965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☐</w:t>
            </w:r>
          </w:p>
        </w:tc>
      </w:tr>
      <w:tr>
        <w:trPr>
          <w:cantSplit/>
        </w:trPr>
        <w:tc>
          <w:tcPr>
            <w:tcW w:type="dxa" w:w="8827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Experience with the population and proposed project model</w:t>
            </w:r>
          </w:p>
        </w:tc>
        <w:tc>
          <w:tcPr>
            <w:tcW w:type="dxa" w:w="965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☐</w:t>
            </w:r>
          </w:p>
        </w:tc>
      </w:tr>
      <w:tr>
        <w:trPr>
          <w:cantSplit/>
        </w:trPr>
        <w:tc>
          <w:tcPr>
            <w:tcW w:type="dxa" w:w="8827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Coordinated Entry participation</w:t>
            </w:r>
          </w:p>
        </w:tc>
        <w:tc>
          <w:tcPr>
            <w:tcW w:type="dxa" w:w="965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☐</w:t>
            </w:r>
          </w:p>
        </w:tc>
      </w:tr>
      <w:tr>
        <w:trPr>
          <w:cantSplit/>
        </w:trPr>
        <w:tc>
          <w:tcPr>
            <w:tcW w:type="dxa" w:w="8827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HMIS participation or eligible comparable database</w:t>
            </w:r>
          </w:p>
        </w:tc>
        <w:tc>
          <w:tcPr>
            <w:tcW w:type="dxa" w:w="965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☐</w:t>
            </w:r>
          </w:p>
        </w:tc>
      </w:tr>
      <w:tr>
        <w:trPr>
          <w:cantSplit/>
        </w:trPr>
        <w:tc>
          <w:tcPr>
            <w:tcW w:type="dxa" w:w="8827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Required certifications</w:t>
            </w:r>
          </w:p>
        </w:tc>
        <w:tc>
          <w:tcPr>
            <w:tcW w:type="dxa" w:w="965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☐</w:t>
            </w:r>
          </w:p>
        </w:tc>
      </w:tr>
      <w:tr>
        <w:trPr>
          <w:cantSplit/>
        </w:trPr>
        <w:tc>
          <w:tcPr>
            <w:tcW w:type="dxa" w:w="8827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Complete application and required attachments</w:t>
            </w:r>
          </w:p>
        </w:tc>
        <w:tc>
          <w:tcPr>
            <w:tcW w:type="dxa" w:w="965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☐</w:t>
            </w:r>
          </w:p>
        </w:tc>
      </w:tr>
      <w:tr>
        <w:trPr>
          <w:cantSplit/>
        </w:trPr>
        <w:tc>
          <w:tcPr>
            <w:tcW w:type="dxa" w:w="8827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Budget and match are complete and mathematically accurate</w:t>
            </w:r>
          </w:p>
        </w:tc>
        <w:tc>
          <w:tcPr>
            <w:tcW w:type="dxa" w:w="965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☐</w:t>
            </w:r>
          </w:p>
        </w:tc>
      </w:tr>
    </w:tbl>
    <w:p>
      <w:pPr>
        <w:spacing w:before="120" w:after="40"/>
      </w:pPr>
      <w:r>
        <w:rPr>
          <w:b/>
          <w:color w:val="17365D"/>
          <w:sz w:val="22"/>
        </w:rPr>
        <w:t>Writing a Competitive Application</w:t>
      </w:r>
    </w:p>
    <w:p>
      <w:pPr>
        <w:pStyle w:val="ListBullet"/>
        <w:spacing w:after="0"/>
        <w:ind w:left="288" w:hanging="173"/>
      </w:pPr>
      <w:r>
        <w:rPr>
          <w:sz w:val="17"/>
        </w:rPr>
        <w:t>Answer every question directly. Do not rely on organizational reputation or assume reviewers already know the program.</w:t>
      </w:r>
    </w:p>
    <w:p>
      <w:pPr>
        <w:pStyle w:val="ListBullet"/>
        <w:spacing w:after="0"/>
        <w:ind w:left="288" w:hanging="173"/>
      </w:pPr>
      <w:r>
        <w:rPr>
          <w:sz w:val="17"/>
        </w:rPr>
        <w:t>Use specific numbers, dates, staffing levels, partner roles, milestones, and outcomes.</w:t>
      </w:r>
    </w:p>
    <w:p>
      <w:pPr>
        <w:pStyle w:val="ListBullet"/>
        <w:spacing w:after="0"/>
        <w:ind w:left="288" w:hanging="173"/>
      </w:pPr>
      <w:r>
        <w:rPr>
          <w:sz w:val="17"/>
        </w:rPr>
        <w:t>Explain exactly how the project improves PA-508 system performance.</w:t>
      </w:r>
    </w:p>
    <w:p>
      <w:pPr>
        <w:pStyle w:val="ListBullet"/>
        <w:spacing w:after="0"/>
        <w:ind w:left="288" w:hanging="173"/>
      </w:pPr>
      <w:r>
        <w:rPr>
          <w:sz w:val="17"/>
        </w:rPr>
        <w:t>Describe the eligible population and how eligibility will be documented.</w:t>
      </w:r>
    </w:p>
    <w:p>
      <w:pPr>
        <w:pStyle w:val="ListBullet"/>
        <w:spacing w:after="0"/>
        <w:ind w:left="288" w:hanging="173"/>
      </w:pPr>
      <w:r>
        <w:rPr>
          <w:sz w:val="17"/>
        </w:rPr>
        <w:t>Connect the service model to housing outcomes, self-sufficiency, employment income, treatment access, and reduced returns to homelessness.</w:t>
      </w:r>
    </w:p>
    <w:p>
      <w:pPr>
        <w:pStyle w:val="ListBullet"/>
        <w:spacing w:after="0"/>
        <w:ind w:left="288" w:hanging="173"/>
      </w:pPr>
      <w:r>
        <w:rPr>
          <w:sz w:val="17"/>
        </w:rPr>
        <w:t>Identify what each partner will provide and whether an MOU, letter, contract, or other commitment is attached.</w:t>
      </w:r>
    </w:p>
    <w:p>
      <w:pPr>
        <w:pStyle w:val="ListBullet"/>
        <w:spacing w:after="0"/>
        <w:ind w:left="288" w:hanging="173"/>
      </w:pPr>
      <w:r>
        <w:rPr>
          <w:sz w:val="17"/>
        </w:rPr>
        <w:t>Explain why costs are reasonable and how the cost per household was calculated.</w:t>
      </w:r>
    </w:p>
    <w:p>
      <w:pPr>
        <w:pStyle w:val="ListBullet"/>
        <w:spacing w:after="0"/>
        <w:ind w:left="288" w:hanging="173"/>
      </w:pPr>
      <w:r>
        <w:rPr>
          <w:sz w:val="17"/>
        </w:rPr>
        <w:t>Use the component-specific rubric as a final completeness test.</w:t>
      </w:r>
    </w:p>
    <w:p>
      <w:pPr>
        <w:spacing w:before="120" w:after="40"/>
      </w:pPr>
      <w:r>
        <w:rPr>
          <w:b/>
          <w:color w:val="17365D"/>
          <w:sz w:val="22"/>
        </w:rPr>
        <w:t>Component-Specific Guidance</w:t>
      </w:r>
    </w:p>
    <w:tbl>
      <w:tblPr>
        <w:tblW w:type="dxa" w:w="9792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1688"/>
        <w:gridCol w:w="8104"/>
      </w:tblGrid>
      <w:tr>
        <w:tc>
          <w:tcPr>
            <w:tcW w:type="dxa" w:w="1688"/>
            <w:shd w:fill="17365D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after="0"/>
            </w:pPr>
            <w:r>
              <w:rPr>
                <w:b/>
                <w:color w:val="FFFFFF"/>
                <w:sz w:val="15"/>
              </w:rPr>
              <w:t>PROJECT TYPE</w:t>
            </w:r>
          </w:p>
        </w:tc>
        <w:tc>
          <w:tcPr>
            <w:tcW w:type="dxa" w:w="8104"/>
            <w:shd w:fill="17365D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after="0"/>
            </w:pPr>
            <w:r>
              <w:rPr>
                <w:b/>
                <w:color w:val="FFFFFF"/>
                <w:sz w:val="15"/>
              </w:rPr>
              <w:t>APPLICATION MUST CLEARLY SHOW</w:t>
            </w:r>
          </w:p>
        </w:tc>
      </w:tr>
      <w:tr>
        <w:trPr>
          <w:cantSplit/>
        </w:trPr>
        <w:tc>
          <w:tcPr>
            <w:tcW w:type="dxa" w:w="1688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TH</w:t>
            </w:r>
          </w:p>
        </w:tc>
        <w:tc>
          <w:tcPr>
            <w:tcW w:type="dxa" w:w="8104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Supportive services, individualized service planning, 20 hours per week of engagement when applicable, positive exits within 24 months, employment outcomes, leverage, and reasonable cost.</w:t>
            </w:r>
          </w:p>
        </w:tc>
      </w:tr>
      <w:tr>
        <w:trPr>
          <w:cantSplit/>
        </w:trPr>
        <w:tc>
          <w:tcPr>
            <w:tcW w:type="dxa" w:w="1688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SSO Stand-Alone</w:t>
            </w:r>
          </w:p>
        </w:tc>
        <w:tc>
          <w:tcPr>
            <w:tcW w:type="dxa" w:w="8104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Documented system gap, strategy to help people exit homelessness, annual assessment of service needs, engagement strategy, leverage, and measurable outcomes.</w:t>
            </w:r>
          </w:p>
        </w:tc>
      </w:tr>
      <w:tr>
        <w:trPr>
          <w:cantSplit/>
        </w:trPr>
        <w:tc>
          <w:tcPr>
            <w:tcW w:type="dxa" w:w="1688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Street Outreach</w:t>
            </w:r>
          </w:p>
        </w:tc>
        <w:tc>
          <w:tcPr>
            <w:tcW w:type="dxa" w:w="8104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Outreach experience or credible plan, engagement of people who do not traditionally use services, coordination with first responders, exits from unsheltered settings, leverage, and reasonable cost.</w:t>
            </w:r>
          </w:p>
        </w:tc>
      </w:tr>
      <w:tr>
        <w:trPr>
          <w:cantSplit/>
        </w:trPr>
        <w:tc>
          <w:tcPr>
            <w:tcW w:type="dxa" w:w="1688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SSO-CE</w:t>
            </w:r>
          </w:p>
        </w:tc>
        <w:tc>
          <w:tcPr>
            <w:tcW w:type="dxa" w:w="8104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Geographic accessibility, disability access, outreach to highest-need households, standardized assessment, and appropriate referral to housing and services.</w:t>
            </w:r>
          </w:p>
        </w:tc>
      </w:tr>
      <w:tr>
        <w:trPr>
          <w:cantSplit/>
        </w:trPr>
        <w:tc>
          <w:tcPr>
            <w:tcW w:type="dxa" w:w="1688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PSH</w:t>
            </w:r>
          </w:p>
        </w:tc>
        <w:tc>
          <w:tcPr>
            <w:tcW w:type="dxa" w:w="8104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Appropriate housing configuration, qualifying disability, supportive services that promote housing retention, reasonable cost, and leveraged resources.</w:t>
            </w:r>
          </w:p>
        </w:tc>
      </w:tr>
      <w:tr>
        <w:trPr>
          <w:cantSplit/>
        </w:trPr>
        <w:tc>
          <w:tcPr>
            <w:tcW w:type="dxa" w:w="1688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RRH</w:t>
            </w:r>
          </w:p>
        </w:tc>
        <w:tc>
          <w:tcPr>
            <w:tcW w:type="dxa" w:w="8104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Tenant-based rental assistance, supportive services that help participants achieve housing stability and self-sufficiency within 24 months, permanent housing exits, employment outcomes, leverage, and reasonable cost.</w:t>
            </w:r>
          </w:p>
        </w:tc>
      </w:tr>
      <w:tr>
        <w:trPr>
          <w:cantSplit/>
        </w:trPr>
        <w:tc>
          <w:tcPr>
            <w:tcW w:type="dxa" w:w="1688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HMIS</w:t>
            </w:r>
          </w:p>
        </w:tc>
        <w:tc>
          <w:tcPr>
            <w:tcW w:type="dxa" w:w="8104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How funds further implementation, required data elements, unduplication, and production of HUD-required reports.</w:t>
            </w:r>
          </w:p>
        </w:tc>
      </w:tr>
    </w:tbl>
    <w:p>
      <w:pPr>
        <w:spacing w:before="120" w:after="40"/>
      </w:pPr>
      <w:r>
        <w:rPr>
          <w:b/>
          <w:color w:val="17365D"/>
          <w:sz w:val="22"/>
        </w:rPr>
        <w:t>Budget Rules to Remember</w:t>
      </w:r>
    </w:p>
    <w:p>
      <w:pPr>
        <w:pStyle w:val="ListBullet"/>
        <w:spacing w:after="0"/>
        <w:ind w:left="288" w:hanging="173"/>
      </w:pPr>
      <w:r>
        <w:rPr>
          <w:sz w:val="17"/>
        </w:rPr>
        <w:t>Request only costs eligible for the selected component.</w:t>
      </w:r>
    </w:p>
    <w:p>
      <w:pPr>
        <w:pStyle w:val="ListBullet"/>
        <w:spacing w:after="0"/>
        <w:ind w:left="288" w:hanging="173"/>
      </w:pPr>
      <w:r>
        <w:rPr>
          <w:sz w:val="17"/>
        </w:rPr>
        <w:t>Administrative costs may not exceed 10%.</w:t>
      </w:r>
    </w:p>
    <w:p>
      <w:pPr>
        <w:pStyle w:val="ListBullet"/>
        <w:spacing w:after="0"/>
        <w:ind w:left="288" w:hanging="173"/>
      </w:pPr>
      <w:r>
        <w:rPr>
          <w:sz w:val="17"/>
        </w:rPr>
        <w:t>Match equals at least 25% of all grant funds except leasing.</w:t>
      </w:r>
    </w:p>
    <w:p>
      <w:pPr>
        <w:pStyle w:val="ListBullet"/>
        <w:spacing w:after="0"/>
        <w:ind w:left="288" w:hanging="173"/>
      </w:pPr>
      <w:r>
        <w:rPr>
          <w:sz w:val="17"/>
        </w:rPr>
        <w:t>New rental-assistance projects request the full applicable FMR per unit.</w:t>
      </w:r>
    </w:p>
    <w:p>
      <w:pPr>
        <w:pStyle w:val="ListBullet"/>
        <w:spacing w:after="0"/>
        <w:ind w:left="288" w:hanging="173"/>
      </w:pPr>
      <w:r>
        <w:rPr>
          <w:sz w:val="17"/>
        </w:rPr>
        <w:t>Separate direct costs from indirect costs.</w:t>
      </w:r>
    </w:p>
    <w:p>
      <w:pPr>
        <w:pStyle w:val="ListBullet"/>
        <w:spacing w:after="0"/>
        <w:ind w:left="288" w:hanging="173"/>
      </w:pPr>
      <w:r>
        <w:rPr>
          <w:sz w:val="17"/>
        </w:rPr>
        <w:t>Attach the required indirect cost documentation when indirect costs are requested.</w:t>
      </w:r>
    </w:p>
    <w:p>
      <w:pPr>
        <w:pStyle w:val="ListBullet"/>
        <w:spacing w:after="0"/>
        <w:ind w:left="288" w:hanging="173"/>
      </w:pPr>
      <w:r>
        <w:rPr>
          <w:sz w:val="17"/>
        </w:rPr>
        <w:t>Do not request the same cost from more than one funding source.</w:t>
      </w:r>
    </w:p>
    <w:p>
      <w:pPr>
        <w:spacing w:before="120" w:after="40"/>
      </w:pPr>
      <w:r>
        <w:rPr>
          <w:b/>
          <w:color w:val="17365D"/>
          <w:sz w:val="22"/>
        </w:rPr>
        <w:t>Submission Checklist</w:t>
      </w:r>
    </w:p>
    <w:p>
      <w:pPr>
        <w:pStyle w:val="ListBullet"/>
        <w:spacing w:after="0"/>
        <w:ind w:left="288" w:hanging="173"/>
      </w:pPr>
      <w:r>
        <w:rPr>
          <w:sz w:val="17"/>
        </w:rPr>
        <w:t>Signed local application;</w:t>
      </w:r>
    </w:p>
    <w:p>
      <w:pPr>
        <w:pStyle w:val="ListBullet"/>
        <w:spacing w:after="0"/>
        <w:ind w:left="288" w:hanging="173"/>
      </w:pPr>
      <w:r>
        <w:rPr>
          <w:sz w:val="17"/>
        </w:rPr>
        <w:t>Detailed budget and budget narrative;</w:t>
      </w:r>
    </w:p>
    <w:p>
      <w:pPr>
        <w:pStyle w:val="ListBullet"/>
        <w:spacing w:after="0"/>
        <w:ind w:left="288" w:hanging="173"/>
      </w:pPr>
      <w:r>
        <w:rPr>
          <w:sz w:val="17"/>
        </w:rPr>
        <w:t>SAM.gov and UEI documentation;</w:t>
      </w:r>
    </w:p>
    <w:p>
      <w:pPr>
        <w:pStyle w:val="ListBullet"/>
        <w:spacing w:after="0"/>
        <w:ind w:left="288" w:hanging="173"/>
      </w:pPr>
      <w:r>
        <w:rPr>
          <w:sz w:val="17"/>
        </w:rPr>
        <w:t>Applicant and subrecipient eligibility documentation;</w:t>
      </w:r>
    </w:p>
    <w:p>
      <w:pPr>
        <w:pStyle w:val="ListBullet"/>
        <w:spacing w:after="0"/>
        <w:ind w:left="288" w:hanging="173"/>
      </w:pPr>
      <w:r>
        <w:rPr>
          <w:sz w:val="17"/>
        </w:rPr>
        <w:t>Organizational capacity and financial-management documentation;</w:t>
      </w:r>
    </w:p>
    <w:p>
      <w:pPr>
        <w:pStyle w:val="ListBullet"/>
        <w:spacing w:after="0"/>
        <w:ind w:left="288" w:hanging="173"/>
      </w:pPr>
      <w:r>
        <w:rPr>
          <w:sz w:val="17"/>
        </w:rPr>
        <w:t>Implementation timeline;</w:t>
      </w:r>
    </w:p>
    <w:p>
      <w:pPr>
        <w:pStyle w:val="ListBullet"/>
        <w:spacing w:after="0"/>
        <w:ind w:left="288" w:hanging="173"/>
      </w:pPr>
      <w:r>
        <w:rPr>
          <w:sz w:val="17"/>
        </w:rPr>
        <w:t>Partner commitments and MOUs, when available;</w:t>
      </w:r>
    </w:p>
    <w:p>
      <w:pPr>
        <w:pStyle w:val="ListBullet"/>
        <w:spacing w:after="0"/>
        <w:ind w:left="288" w:hanging="173"/>
      </w:pPr>
      <w:r>
        <w:rPr>
          <w:sz w:val="17"/>
        </w:rPr>
        <w:t>Match and leverage documentation;</w:t>
      </w:r>
    </w:p>
    <w:p>
      <w:pPr>
        <w:pStyle w:val="ListBullet"/>
        <w:spacing w:after="0"/>
        <w:ind w:left="288" w:hanging="173"/>
      </w:pPr>
      <w:r>
        <w:rPr>
          <w:sz w:val="17"/>
        </w:rPr>
        <w:t>Component-specific attachments;</w:t>
      </w:r>
    </w:p>
    <w:p>
      <w:pPr>
        <w:pStyle w:val="ListBullet"/>
        <w:spacing w:after="0"/>
        <w:ind w:left="288" w:hanging="173"/>
      </w:pPr>
      <w:r>
        <w:rPr>
          <w:sz w:val="17"/>
        </w:rPr>
        <w:t>DV documentation, if applicable; and</w:t>
      </w:r>
    </w:p>
    <w:p>
      <w:pPr>
        <w:pStyle w:val="ListBullet"/>
        <w:spacing w:after="0"/>
        <w:ind w:left="288" w:hanging="173"/>
      </w:pPr>
      <w:r>
        <w:rPr>
          <w:sz w:val="17"/>
        </w:rPr>
        <w:t>Any other attachments listed in the local application.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4"/>
      </w:rPr>
      <w:t xml:space="preserve">Page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666666"/>
        <w:sz w:val="14"/>
      </w:rPr>
      <w:t>PA-508 Scranton/Lackawanna County Continuum of Care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