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3B66" w14:textId="77777777" w:rsidR="003E560B" w:rsidRDefault="00000000">
      <w:pPr>
        <w:spacing w:after="20"/>
        <w:jc w:val="center"/>
      </w:pPr>
      <w:r>
        <w:rPr>
          <w:b/>
          <w:color w:val="17365D"/>
          <w:sz w:val="18"/>
        </w:rPr>
        <w:t>SCRANTON/LACKAWANNA COUNTY CONTINUUM OF CARE</w:t>
      </w:r>
    </w:p>
    <w:p w14:paraId="0AE9A142" w14:textId="77777777" w:rsidR="003E560B" w:rsidRDefault="00000000">
      <w:pPr>
        <w:spacing w:after="100"/>
        <w:jc w:val="center"/>
      </w:pPr>
      <w:r>
        <w:rPr>
          <w:b/>
          <w:color w:val="17365D"/>
          <w:sz w:val="30"/>
        </w:rPr>
        <w:t>FY 2026 Reallocation Policy</w:t>
      </w:r>
    </w:p>
    <w:tbl>
      <w:tblPr>
        <w:tblW w:w="9792" w:type="dxa"/>
        <w:jc w:val="center"/>
        <w:tblLayout w:type="fixed"/>
        <w:tblLook w:val="04A0" w:firstRow="1" w:lastRow="0" w:firstColumn="1" w:lastColumn="0" w:noHBand="0" w:noVBand="1"/>
      </w:tblPr>
      <w:tblGrid>
        <w:gridCol w:w="9792"/>
      </w:tblGrid>
      <w:tr w:rsidR="003E560B" w14:paraId="792BF642" w14:textId="77777777">
        <w:trPr>
          <w:jc w:val="center"/>
        </w:trPr>
        <w:tc>
          <w:tcPr>
            <w:tcW w:w="9792" w:type="dxa"/>
            <w:shd w:val="clear" w:color="auto" w:fill="FFF2CC"/>
            <w:tcMar>
              <w:top w:w="55" w:type="dxa"/>
              <w:left w:w="60" w:type="dxa"/>
              <w:bottom w:w="55" w:type="dxa"/>
              <w:right w:w="60" w:type="dxa"/>
            </w:tcMar>
          </w:tcPr>
          <w:p w14:paraId="3FDC155A" w14:textId="77777777" w:rsidR="003E560B" w:rsidRDefault="00000000">
            <w:pPr>
              <w:spacing w:after="0"/>
            </w:pPr>
            <w:r>
              <w:rPr>
                <w:sz w:val="16"/>
              </w:rPr>
              <w:t>Updated July 14, 2026; subject to Board ratification.</w:t>
            </w:r>
          </w:p>
        </w:tc>
      </w:tr>
    </w:tbl>
    <w:p w14:paraId="276A7251" w14:textId="77777777" w:rsidR="00515958" w:rsidRDefault="00515958">
      <w:pPr>
        <w:keepNext/>
        <w:spacing w:before="80" w:after="40"/>
        <w:rPr>
          <w:sz w:val="16"/>
        </w:rPr>
      </w:pPr>
    </w:p>
    <w:p w14:paraId="4748A5B3" w14:textId="11B6A87D" w:rsidR="003E560B" w:rsidRPr="00515958" w:rsidRDefault="00000000">
      <w:pPr>
        <w:keepNext/>
        <w:spacing w:before="80" w:after="40"/>
      </w:pPr>
      <w:r w:rsidRPr="00515958">
        <w:rPr>
          <w:b/>
          <w:color w:val="17365D"/>
          <w:sz w:val="21"/>
        </w:rPr>
        <w:t>Public Competition</w:t>
      </w:r>
    </w:p>
    <w:p w14:paraId="4909A12A" w14:textId="77777777" w:rsidR="003E560B" w:rsidRPr="00515958" w:rsidRDefault="00000000">
      <w:pPr>
        <w:spacing w:after="40"/>
      </w:pPr>
      <w:r w:rsidRPr="00515958">
        <w:rPr>
          <w:sz w:val="16"/>
        </w:rPr>
        <w:t>A public request for proposals will be widely distributed as soon as possible after HUD releases the annual Notice of Funding Opportunity. The request will be distributed to the CoC email list, local jurisdictions, community partners, and the general public, and posted on the Collaborative Applicant's website.</w:t>
      </w:r>
    </w:p>
    <w:p w14:paraId="117899A2" w14:textId="77777777" w:rsidR="003E560B" w:rsidRPr="00515958" w:rsidRDefault="00000000">
      <w:pPr>
        <w:spacing w:after="40"/>
      </w:pPr>
      <w:r w:rsidRPr="00515958">
        <w:rPr>
          <w:sz w:val="16"/>
        </w:rPr>
        <w:t>The competition will request new and renewal proposals and will include published scoring rubrics, deadlines, reconsideration procedures, and conflict-of-interest requirements.</w:t>
      </w:r>
    </w:p>
    <w:p w14:paraId="5AAA995E" w14:textId="77777777" w:rsidR="003E560B" w:rsidRPr="00515958" w:rsidRDefault="00000000">
      <w:pPr>
        <w:keepNext/>
        <w:spacing w:before="80" w:after="40"/>
      </w:pPr>
      <w:r w:rsidRPr="00515958">
        <w:rPr>
          <w:b/>
          <w:color w:val="17365D"/>
          <w:sz w:val="21"/>
        </w:rPr>
        <w:t>Objective Review</w:t>
      </w:r>
    </w:p>
    <w:p w14:paraId="5DCA89DB" w14:textId="77777777" w:rsidR="003E560B" w:rsidRPr="00515958" w:rsidRDefault="00000000">
      <w:pPr>
        <w:spacing w:after="40"/>
      </w:pPr>
      <w:r w:rsidRPr="00515958">
        <w:rPr>
          <w:sz w:val="16"/>
        </w:rPr>
        <w:t>Renewal projects will be evaluated using Annual Performance Report information, fit within the homeless services delivery system, HMIS or comparable-database data quality, cost efficiency, and other published factors. New projects will be evaluated using proposed outcomes, HMIS participation, evidence-based practices, feasibility, and system impact.</w:t>
      </w:r>
    </w:p>
    <w:p w14:paraId="3E17872D" w14:textId="77777777" w:rsidR="003E560B" w:rsidRPr="00515958" w:rsidRDefault="00000000">
      <w:pPr>
        <w:spacing w:after="40"/>
      </w:pPr>
      <w:r w:rsidRPr="00515958">
        <w:rPr>
          <w:sz w:val="16"/>
        </w:rPr>
        <w:t>All projects will be scored by an unbiased review committee. Reviewer conflicts will be disclosed and managed through recusal. Final project scores will be based on the average of eligible reviewer scores so that recusals do not disadvantage an applicant.</w:t>
      </w:r>
    </w:p>
    <w:p w14:paraId="27A9A36A" w14:textId="77777777" w:rsidR="003E560B" w:rsidRPr="00515958" w:rsidRDefault="00000000">
      <w:pPr>
        <w:keepNext/>
        <w:spacing w:before="80" w:after="40"/>
      </w:pPr>
      <w:r w:rsidRPr="00515958">
        <w:rPr>
          <w:b/>
          <w:color w:val="17365D"/>
          <w:sz w:val="21"/>
        </w:rPr>
        <w:t>Voluntary and Involuntary Reallocation</w:t>
      </w:r>
    </w:p>
    <w:p w14:paraId="31EED9B9" w14:textId="77777777" w:rsidR="003E560B" w:rsidRPr="00515958" w:rsidRDefault="00000000">
      <w:pPr>
        <w:pStyle w:val="ListBullet"/>
        <w:spacing w:after="0"/>
        <w:ind w:left="259" w:hanging="144"/>
      </w:pPr>
      <w:r w:rsidRPr="00515958">
        <w:rPr>
          <w:sz w:val="16"/>
        </w:rPr>
        <w:t>Voluntary full or partial reallocation may be requested by a renewal recipient.</w:t>
      </w:r>
    </w:p>
    <w:p w14:paraId="33235B3C" w14:textId="77777777" w:rsidR="003E560B" w:rsidRPr="00515958" w:rsidRDefault="00000000">
      <w:pPr>
        <w:pStyle w:val="ListBullet"/>
        <w:spacing w:after="0"/>
        <w:ind w:left="259" w:hanging="144"/>
      </w:pPr>
      <w:r w:rsidRPr="00515958">
        <w:rPr>
          <w:sz w:val="16"/>
        </w:rPr>
        <w:t>Involuntary full or partial reallocation may occur based on objective scoring, performance, compliance, system priorities, or funding availability.</w:t>
      </w:r>
    </w:p>
    <w:p w14:paraId="6E6FDC25" w14:textId="77777777" w:rsidR="003E560B" w:rsidRPr="00515958" w:rsidRDefault="00000000">
      <w:pPr>
        <w:pStyle w:val="ListBullet"/>
        <w:spacing w:after="0"/>
        <w:ind w:left="259" w:hanging="144"/>
      </w:pPr>
      <w:r w:rsidRPr="00515958">
        <w:rPr>
          <w:sz w:val="16"/>
        </w:rPr>
        <w:t>Transition grants may be used when permitted by HUD.</w:t>
      </w:r>
    </w:p>
    <w:p w14:paraId="545D5EFE" w14:textId="77777777" w:rsidR="003E560B" w:rsidRPr="00515958" w:rsidRDefault="00000000">
      <w:pPr>
        <w:pStyle w:val="ListBullet"/>
        <w:spacing w:after="0"/>
        <w:ind w:left="259" w:hanging="144"/>
      </w:pPr>
      <w:r w:rsidRPr="00515958">
        <w:rPr>
          <w:sz w:val="16"/>
        </w:rPr>
        <w:t>New projects created through reallocation must be independently reviewed, scored, and ranked.</w:t>
      </w:r>
    </w:p>
    <w:p w14:paraId="1D121150" w14:textId="77777777" w:rsidR="003E560B" w:rsidRPr="00515958" w:rsidRDefault="00000000">
      <w:pPr>
        <w:keepNext/>
        <w:spacing w:before="80" w:after="40"/>
      </w:pPr>
      <w:r w:rsidRPr="00515958">
        <w:rPr>
          <w:b/>
          <w:color w:val="17365D"/>
          <w:sz w:val="21"/>
        </w:rPr>
        <w:t>Factors Considered</w:t>
      </w:r>
    </w:p>
    <w:p w14:paraId="592EF823" w14:textId="77777777" w:rsidR="003E560B" w:rsidRPr="00515958" w:rsidRDefault="00000000">
      <w:pPr>
        <w:pStyle w:val="ListBullet"/>
        <w:spacing w:after="0"/>
        <w:ind w:left="259" w:hanging="144"/>
      </w:pPr>
      <w:r w:rsidRPr="00515958">
        <w:rPr>
          <w:sz w:val="16"/>
        </w:rPr>
        <w:t>Project score and outcomes;</w:t>
      </w:r>
    </w:p>
    <w:p w14:paraId="79F23AE4" w14:textId="77777777" w:rsidR="003E560B" w:rsidRPr="00515958" w:rsidRDefault="00000000">
      <w:pPr>
        <w:pStyle w:val="ListBullet"/>
        <w:spacing w:after="0"/>
        <w:ind w:left="259" w:hanging="144"/>
      </w:pPr>
      <w:r w:rsidRPr="00515958">
        <w:rPr>
          <w:sz w:val="16"/>
        </w:rPr>
        <w:t>Drawdown history and recurring unspent balances;</w:t>
      </w:r>
    </w:p>
    <w:p w14:paraId="5CCA3769" w14:textId="77777777" w:rsidR="003E560B" w:rsidRPr="00515958" w:rsidRDefault="00000000">
      <w:pPr>
        <w:pStyle w:val="ListBullet"/>
        <w:spacing w:after="0"/>
        <w:ind w:left="259" w:hanging="144"/>
      </w:pPr>
      <w:r w:rsidRPr="00515958">
        <w:rPr>
          <w:sz w:val="16"/>
        </w:rPr>
        <w:t>HMIS or comparable-database timeliness and data quality;</w:t>
      </w:r>
    </w:p>
    <w:p w14:paraId="54BC9747" w14:textId="77777777" w:rsidR="003E560B" w:rsidRPr="00515958" w:rsidRDefault="00000000">
      <w:pPr>
        <w:pStyle w:val="ListBullet"/>
        <w:spacing w:after="0"/>
        <w:ind w:left="259" w:hanging="144"/>
      </w:pPr>
      <w:r w:rsidRPr="00515958">
        <w:rPr>
          <w:sz w:val="16"/>
        </w:rPr>
        <w:t>Monitoring, audit, or financial-management concerns;</w:t>
      </w:r>
    </w:p>
    <w:p w14:paraId="62045A5B" w14:textId="77777777" w:rsidR="003E560B" w:rsidRPr="00515958" w:rsidRDefault="00000000">
      <w:pPr>
        <w:pStyle w:val="ListBullet"/>
        <w:spacing w:after="0"/>
        <w:ind w:left="259" w:hanging="144"/>
      </w:pPr>
      <w:r w:rsidRPr="00515958">
        <w:rPr>
          <w:sz w:val="16"/>
        </w:rPr>
        <w:t>Cost effectiveness and system fit;</w:t>
      </w:r>
    </w:p>
    <w:p w14:paraId="5C0B2D8C" w14:textId="77777777" w:rsidR="003E560B" w:rsidRPr="00515958" w:rsidRDefault="00000000">
      <w:pPr>
        <w:pStyle w:val="ListBullet"/>
        <w:spacing w:after="0"/>
        <w:ind w:left="259" w:hanging="144"/>
      </w:pPr>
      <w:r w:rsidRPr="00515958">
        <w:rPr>
          <w:sz w:val="16"/>
        </w:rPr>
        <w:t>Alignment with HUD and local priorities; and</w:t>
      </w:r>
    </w:p>
    <w:p w14:paraId="33DF418E" w14:textId="77777777" w:rsidR="003E560B" w:rsidRPr="00515958" w:rsidRDefault="00000000">
      <w:pPr>
        <w:pStyle w:val="ListBullet"/>
        <w:spacing w:after="0"/>
        <w:ind w:left="259" w:hanging="144"/>
      </w:pPr>
      <w:r w:rsidRPr="00515958">
        <w:rPr>
          <w:sz w:val="16"/>
        </w:rPr>
        <w:t>Funding-source restrictions, including DV and YHDP requirements.</w:t>
      </w:r>
    </w:p>
    <w:p w14:paraId="16E2BB6E" w14:textId="77777777" w:rsidR="003E560B" w:rsidRPr="00515958" w:rsidRDefault="00000000">
      <w:pPr>
        <w:keepNext/>
        <w:spacing w:before="80" w:after="40"/>
      </w:pPr>
      <w:r w:rsidRPr="00515958">
        <w:rPr>
          <w:b/>
          <w:color w:val="17365D"/>
          <w:sz w:val="21"/>
        </w:rPr>
        <w:t>Notice and Reconsideration</w:t>
      </w:r>
    </w:p>
    <w:p w14:paraId="133D3272" w14:textId="77777777" w:rsidR="003E560B" w:rsidRPr="00515958" w:rsidRDefault="00000000">
      <w:pPr>
        <w:spacing w:after="40"/>
      </w:pPr>
      <w:r w:rsidRPr="00515958">
        <w:rPr>
          <w:sz w:val="16"/>
        </w:rPr>
        <w:t>An applicant whose project is proposed for reduction, rejection, or involuntary reallocation will receive written notice stating the preliminary decision, amount affected, reason(s), and deadline for reconsideration.</w:t>
      </w:r>
    </w:p>
    <w:p w14:paraId="2DC4FDD5" w14:textId="77777777" w:rsidR="003E560B" w:rsidRPr="00515958" w:rsidRDefault="00000000">
      <w:pPr>
        <w:spacing w:after="40"/>
      </w:pPr>
      <w:r w:rsidRPr="00515958">
        <w:rPr>
          <w:sz w:val="16"/>
        </w:rPr>
        <w:t>Reconsideration is limited to factual, mathematical, conflict-of-interest, or procedural errors and may not be used to introduce a substantially revised project or omitted required information.</w:t>
      </w:r>
    </w:p>
    <w:p w14:paraId="794A939D" w14:textId="77777777" w:rsidR="003E560B" w:rsidRPr="00515958" w:rsidRDefault="00000000">
      <w:pPr>
        <w:keepNext/>
        <w:spacing w:before="80" w:after="40"/>
      </w:pPr>
      <w:r w:rsidRPr="00515958">
        <w:rPr>
          <w:b/>
          <w:color w:val="17365D"/>
          <w:sz w:val="21"/>
        </w:rPr>
        <w:t>Tie-Breaking and Documentation</w:t>
      </w:r>
    </w:p>
    <w:p w14:paraId="3D0DF9ED" w14:textId="77777777" w:rsidR="003E560B" w:rsidRDefault="00000000">
      <w:pPr>
        <w:spacing w:after="40"/>
      </w:pPr>
      <w:r w:rsidRPr="00515958">
        <w:rPr>
          <w:sz w:val="16"/>
        </w:rPr>
        <w:t>Ties will be resolved in order by system-performance impact, project outcomes, cost effectiveness, alignment with local priorities, and a documented vote of non-conflicted reviewers.</w:t>
      </w:r>
    </w:p>
    <w:p w14:paraId="5C39D7BB" w14:textId="77777777" w:rsidR="003E560B" w:rsidRDefault="00000000">
      <w:pPr>
        <w:spacing w:after="40"/>
      </w:pPr>
      <w:r>
        <w:rPr>
          <w:sz w:val="16"/>
        </w:rPr>
        <w:t>PA-508 will retain scoring sheets, conflict disclosures, notices, reconsideration decisions, ranking records, and evidence of public posting.</w:t>
      </w:r>
    </w:p>
    <w:sectPr w:rsidR="003E560B" w:rsidSect="00034616">
      <w:headerReference w:type="default" r:id="rId8"/>
      <w:footerReference w:type="default" r:id="rId9"/>
      <w:pgSz w:w="12240" w:h="15840"/>
      <w:pgMar w:top="691" w:right="936" w:bottom="691" w:left="93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8B6E" w14:textId="77777777" w:rsidR="00A8162C" w:rsidRDefault="00A8162C">
      <w:pPr>
        <w:spacing w:after="0" w:line="240" w:lineRule="auto"/>
      </w:pPr>
      <w:r>
        <w:separator/>
      </w:r>
    </w:p>
  </w:endnote>
  <w:endnote w:type="continuationSeparator" w:id="0">
    <w:p w14:paraId="449BAF4F" w14:textId="77777777" w:rsidR="00A8162C" w:rsidRDefault="00A8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7A1D" w14:textId="77777777" w:rsidR="003E560B" w:rsidRDefault="00000000">
    <w:pPr>
      <w:pStyle w:val="Footer"/>
      <w:jc w:val="center"/>
    </w:pPr>
    <w:r>
      <w:rPr>
        <w:color w:val="646464"/>
        <w:sz w:val="14"/>
      </w:rPr>
      <w:t>FY 2026 Local Competition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EEB4" w14:textId="77777777" w:rsidR="00A8162C" w:rsidRDefault="00A8162C">
      <w:pPr>
        <w:spacing w:after="0" w:line="240" w:lineRule="auto"/>
      </w:pPr>
      <w:r>
        <w:separator/>
      </w:r>
    </w:p>
  </w:footnote>
  <w:footnote w:type="continuationSeparator" w:id="0">
    <w:p w14:paraId="6E60E68C" w14:textId="77777777" w:rsidR="00A8162C" w:rsidRDefault="00A8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BF8A" w14:textId="77777777" w:rsidR="003E560B" w:rsidRDefault="00000000">
    <w:pPr>
      <w:pStyle w:val="Header"/>
      <w:jc w:val="right"/>
    </w:pPr>
    <w:r>
      <w:rPr>
        <w:color w:val="646464"/>
        <w:sz w:val="14"/>
      </w:rPr>
      <w:t>PA-508 Scranton/Lackawanna County Continuum of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6876960">
    <w:abstractNumId w:val="8"/>
  </w:num>
  <w:num w:numId="2" w16cid:durableId="391343708">
    <w:abstractNumId w:val="6"/>
  </w:num>
  <w:num w:numId="3" w16cid:durableId="1689984871">
    <w:abstractNumId w:val="5"/>
  </w:num>
  <w:num w:numId="4" w16cid:durableId="869226242">
    <w:abstractNumId w:val="4"/>
  </w:num>
  <w:num w:numId="5" w16cid:durableId="1170830043">
    <w:abstractNumId w:val="7"/>
  </w:num>
  <w:num w:numId="6" w16cid:durableId="1819686742">
    <w:abstractNumId w:val="3"/>
  </w:num>
  <w:num w:numId="7" w16cid:durableId="1437553428">
    <w:abstractNumId w:val="2"/>
  </w:num>
  <w:num w:numId="8" w16cid:durableId="859973441">
    <w:abstractNumId w:val="1"/>
  </w:num>
  <w:num w:numId="9" w16cid:durableId="206576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E560B"/>
    <w:rsid w:val="00515958"/>
    <w:rsid w:val="007E7C42"/>
    <w:rsid w:val="00A8162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FEEB82"/>
  <w14:defaultImageDpi w14:val="300"/>
  <w15:docId w15:val="{ED963FFD-EC96-43F6-A12A-85AB5934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17"/>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Melissa Stickel</cp:lastModifiedBy>
  <cp:revision>2</cp:revision>
  <dcterms:created xsi:type="dcterms:W3CDTF">2026-07-14T17:47:00Z</dcterms:created>
  <dcterms:modified xsi:type="dcterms:W3CDTF">2026-07-14T17:47:00Z</dcterms:modified>
  <cp:category/>
</cp:coreProperties>
</file>