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17365D"/>
          <w:sz w:val="18"/>
        </w:rPr>
        <w:t>PA-508 LOCAL COMPETITION TRAINING HANDOUT</w:t>
      </w:r>
    </w:p>
    <w:p>
      <w:pPr>
        <w:spacing w:after="100"/>
        <w:jc w:val="center"/>
      </w:pPr>
      <w:r>
        <w:rPr>
          <w:b/>
          <w:color w:val="17365D"/>
          <w:sz w:val="34"/>
        </w:rPr>
        <w:t>FY 2026 Renewal Project Applicant Guide</w:t>
      </w:r>
    </w:p>
    <w:tbl>
      <w:tblPr>
        <w:tblW w:type="dxa" w:w="9792"/>
        <w:jc w:val="center"/>
        <w:tblLook w:firstColumn="1" w:firstRow="1" w:lastColumn="0" w:lastRow="0" w:noHBand="0" w:noVBand="1" w:val="04A0"/>
        <w:tblLayout w:type="fixed"/>
        <w:tblInd w:w="0" w:type="dxa"/>
      </w:tblPr>
      <w:tblGrid>
        <w:gridCol w:w="9792"/>
      </w:tblGrid>
      <w:tr>
        <w:tc>
          <w:tcPr>
            <w:tcW w:type="dxa" w:w="9792"/>
            <w:shd w:fill="FFF2CC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0"/>
            </w:pPr>
            <w:r>
              <w:rPr>
                <w:sz w:val="17"/>
              </w:rPr>
              <w:t>Renewal funding is competitive. Applicants must document continued eligibility, performance, capacity, and system value.</w:t>
            </w:r>
          </w:p>
        </w:tc>
      </w:tr>
    </w:tbl>
    <w:p>
      <w:pPr>
        <w:spacing w:before="120" w:after="40"/>
      </w:pPr>
      <w:r>
        <w:rPr>
          <w:b/>
          <w:color w:val="17365D"/>
          <w:sz w:val="22"/>
        </w:rPr>
        <w:t>Renewal Eligibility</w:t>
      </w:r>
    </w:p>
    <w:p>
      <w:pPr>
        <w:pStyle w:val="ListBullet"/>
        <w:spacing w:after="0"/>
        <w:ind w:left="288" w:hanging="173"/>
      </w:pPr>
      <w:r>
        <w:rPr>
          <w:sz w:val="17"/>
        </w:rPr>
        <w:t>The project is currently operating under an executed CoC grant agreement.</w:t>
      </w:r>
    </w:p>
    <w:p>
      <w:pPr>
        <w:pStyle w:val="ListBullet"/>
        <w:spacing w:after="0"/>
        <w:ind w:left="288" w:hanging="173"/>
      </w:pPr>
      <w:r>
        <w:rPr>
          <w:sz w:val="17"/>
        </w:rPr>
        <w:t>The grant expires between January 1 and December 31, 2027.</w:t>
      </w:r>
    </w:p>
    <w:p>
      <w:pPr>
        <w:pStyle w:val="ListBullet"/>
        <w:spacing w:after="0"/>
        <w:ind w:left="288" w:hanging="173"/>
      </w:pPr>
      <w:r>
        <w:rPr>
          <w:sz w:val="17"/>
        </w:rPr>
        <w:t>The renewal is submitted by the current recipient named in the grant agreement or an approved transferee.</w:t>
      </w:r>
    </w:p>
    <w:p>
      <w:pPr>
        <w:pStyle w:val="ListBullet"/>
        <w:spacing w:after="0"/>
        <w:ind w:left="288" w:hanging="173"/>
      </w:pPr>
      <w:r>
        <w:rPr>
          <w:sz w:val="17"/>
        </w:rPr>
        <w:t>The project remains under the same component and serves the same required subpopulation, unless an eligible HUD process permits a change.</w:t>
      </w:r>
    </w:p>
    <w:p>
      <w:pPr>
        <w:pStyle w:val="ListBullet"/>
        <w:spacing w:after="0"/>
        <w:ind w:left="288" w:hanging="173"/>
      </w:pPr>
      <w:r>
        <w:rPr>
          <w:sz w:val="17"/>
        </w:rPr>
        <w:t>The request does not exceed the project's eligible renewal amount after applicable adjustments.</w:t>
      </w:r>
    </w:p>
    <w:p>
      <w:pPr>
        <w:spacing w:before="120" w:after="40"/>
      </w:pPr>
      <w:r>
        <w:rPr>
          <w:b/>
          <w:color w:val="17365D"/>
          <w:sz w:val="22"/>
        </w:rPr>
        <w:t>What May Be Renewed</w:t>
      </w:r>
    </w:p>
    <w:p>
      <w:pPr>
        <w:pStyle w:val="ListBullet"/>
        <w:spacing w:after="0"/>
        <w:ind w:left="288" w:hanging="173"/>
      </w:pPr>
      <w:r>
        <w:rPr>
          <w:sz w:val="17"/>
        </w:rPr>
        <w:t>Rental assistance;</w:t>
      </w:r>
    </w:p>
    <w:p>
      <w:pPr>
        <w:pStyle w:val="ListBullet"/>
        <w:spacing w:after="0"/>
        <w:ind w:left="288" w:hanging="173"/>
      </w:pPr>
      <w:r>
        <w:rPr>
          <w:sz w:val="17"/>
        </w:rPr>
        <w:t>Leasing;</w:t>
      </w:r>
    </w:p>
    <w:p>
      <w:pPr>
        <w:pStyle w:val="ListBullet"/>
        <w:spacing w:after="0"/>
        <w:ind w:left="288" w:hanging="173"/>
      </w:pPr>
      <w:r>
        <w:rPr>
          <w:sz w:val="17"/>
        </w:rPr>
        <w:t>Operating costs;</w:t>
      </w:r>
    </w:p>
    <w:p>
      <w:pPr>
        <w:pStyle w:val="ListBullet"/>
        <w:spacing w:after="0"/>
        <w:ind w:left="288" w:hanging="173"/>
      </w:pPr>
      <w:r>
        <w:rPr>
          <w:sz w:val="17"/>
        </w:rPr>
        <w:t>Supportive services;</w:t>
      </w:r>
    </w:p>
    <w:p>
      <w:pPr>
        <w:pStyle w:val="ListBullet"/>
        <w:spacing w:after="0"/>
        <w:ind w:left="288" w:hanging="173"/>
      </w:pPr>
      <w:r>
        <w:rPr>
          <w:sz w:val="17"/>
        </w:rPr>
        <w:t>HMIS costs;</w:t>
      </w:r>
    </w:p>
    <w:p>
      <w:pPr>
        <w:pStyle w:val="ListBullet"/>
        <w:spacing w:after="0"/>
        <w:ind w:left="288" w:hanging="173"/>
      </w:pPr>
      <w:r>
        <w:rPr>
          <w:sz w:val="17"/>
        </w:rPr>
        <w:t>VAWA costs, when applicable; and</w:t>
      </w:r>
    </w:p>
    <w:p>
      <w:pPr>
        <w:pStyle w:val="ListBullet"/>
        <w:spacing w:after="0"/>
        <w:ind w:left="288" w:hanging="173"/>
      </w:pPr>
      <w:r>
        <w:rPr>
          <w:sz w:val="17"/>
        </w:rPr>
        <w:t>Project administrative costs, not to exceed 10%.</w:t>
      </w:r>
    </w:p>
    <w:p>
      <w:pPr>
        <w:spacing w:before="120" w:after="40"/>
      </w:pPr>
      <w:r>
        <w:rPr>
          <w:b/>
          <w:color w:val="17365D"/>
          <w:sz w:val="22"/>
        </w:rPr>
        <w:t>Rental Assistance and Leasing</w:t>
      </w:r>
    </w:p>
    <w:p>
      <w:pPr>
        <w:spacing w:after="40"/>
      </w:pPr>
      <w:r>
        <w:rPr>
          <w:sz w:val="17"/>
        </w:rPr>
        <w:t>Existing RRH renewal projects that currently use rental assistance may continue to renew with rental assistance. They do not need to convert to master leasing.</w:t>
      </w:r>
    </w:p>
    <w:p>
      <w:pPr>
        <w:spacing w:after="40"/>
      </w:pPr>
      <w:r>
        <w:rPr>
          <w:sz w:val="17"/>
        </w:rPr>
        <w:t>Renewal rental-assistance projects may request a per-unit amount below FMR when actual rents are lower. The applicant must ensure the amount requested is sufficient because HUD cannot add funds later. A rental-assistance request may not exceed the applicable FMR.</w:t>
      </w:r>
    </w:p>
    <w:p>
      <w:pPr>
        <w:spacing w:after="40"/>
      </w:pPr>
      <w:r>
        <w:rPr>
          <w:sz w:val="17"/>
        </w:rPr>
        <w:t>Leasing and rental assistance are not interchangeable budget lines. Renew the approved structure unless an authorized amendment, transition, replacement, or other HUD process applies.</w:t>
      </w:r>
    </w:p>
    <w:p>
      <w:pPr>
        <w:spacing w:before="120" w:after="40"/>
      </w:pPr>
      <w:r>
        <w:rPr>
          <w:b/>
          <w:color w:val="17365D"/>
          <w:sz w:val="22"/>
        </w:rPr>
        <w:t>Changes to a Renewal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701"/>
        <w:gridCol w:w="7091"/>
      </w:tblGrid>
      <w:tr>
        <w:tc>
          <w:tcPr>
            <w:tcW w:type="dxa" w:w="2701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TYPE OF CHANGE</w:t>
            </w:r>
          </w:p>
        </w:tc>
        <w:tc>
          <w:tcPr>
            <w:tcW w:type="dxa" w:w="7091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HOW TO HANDLE IT</w:t>
            </w:r>
          </w:p>
        </w:tc>
      </w:tr>
      <w:tr>
        <w:trPr>
          <w:cantSplit/>
        </w:trPr>
        <w:tc>
          <w:tcPr>
            <w:tcW w:type="dxa" w:w="270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Minor budget shift</w:t>
            </w:r>
          </w:p>
        </w:tc>
        <w:tc>
          <w:tcPr>
            <w:tcW w:type="dxa" w:w="709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 renewal may generally shift up to 10% from one approved eligible activity to another, subject to HUD approval and NOFO requirements.</w:t>
            </w:r>
          </w:p>
        </w:tc>
      </w:tr>
      <w:tr>
        <w:trPr>
          <w:cantSplit/>
        </w:trPr>
        <w:tc>
          <w:tcPr>
            <w:tcW w:type="dxa" w:w="270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Budget shift over 10%</w:t>
            </w:r>
          </w:p>
        </w:tc>
        <w:tc>
          <w:tcPr>
            <w:tcW w:type="dxa" w:w="709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Treat as a significant change and contact the HUD Field Office regarding a grant amendment.</w:t>
            </w:r>
          </w:p>
        </w:tc>
      </w:tr>
      <w:tr>
        <w:trPr>
          <w:cantSplit/>
        </w:trPr>
        <w:tc>
          <w:tcPr>
            <w:tcW w:type="dxa" w:w="270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Change of component</w:t>
            </w:r>
          </w:p>
        </w:tc>
        <w:tc>
          <w:tcPr>
            <w:tcW w:type="dxa" w:w="709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Use an eligible transition grant or other HUD-authorized replacement process. Do not submit it as an ordinary renewal.</w:t>
            </w:r>
          </w:p>
        </w:tc>
      </w:tr>
      <w:tr>
        <w:trPr>
          <w:cantSplit/>
        </w:trPr>
        <w:tc>
          <w:tcPr>
            <w:tcW w:type="dxa" w:w="270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Expansion</w:t>
            </w:r>
          </w:p>
        </w:tc>
        <w:tc>
          <w:tcPr>
            <w:tcW w:type="dxa" w:w="709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Submit the renewal and a separate new expansion application. Each receives a unique rank.</w:t>
            </w:r>
          </w:p>
        </w:tc>
      </w:tr>
      <w:tr>
        <w:trPr>
          <w:cantSplit/>
        </w:trPr>
        <w:tc>
          <w:tcPr>
            <w:tcW w:type="dxa" w:w="270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Consolidation</w:t>
            </w:r>
          </w:p>
        </w:tc>
        <w:tc>
          <w:tcPr>
            <w:tcW w:type="dxa" w:w="709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Eligible projects must generally have the same recipient and component and meet HUD's consolidation requirements.</w:t>
            </w:r>
          </w:p>
        </w:tc>
      </w:tr>
      <w:tr>
        <w:trPr>
          <w:cantSplit/>
        </w:trPr>
        <w:tc>
          <w:tcPr>
            <w:tcW w:type="dxa" w:w="270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Voluntary reduction or reallocation</w:t>
            </w:r>
          </w:p>
        </w:tc>
        <w:tc>
          <w:tcPr>
            <w:tcW w:type="dxa" w:w="709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Provide written notice and complete any required new-project or transition application.</w:t>
            </w:r>
          </w:p>
        </w:tc>
      </w:tr>
    </w:tbl>
    <w:p>
      <w:pPr>
        <w:spacing w:before="120" w:after="40"/>
      </w:pPr>
      <w:r>
        <w:rPr>
          <w:b/>
          <w:color w:val="17365D"/>
          <w:sz w:val="22"/>
        </w:rPr>
        <w:t>How Renewals Will Be Evaluated</w:t>
      </w:r>
    </w:p>
    <w:p>
      <w:pPr>
        <w:pStyle w:val="ListBullet"/>
        <w:spacing w:after="0"/>
        <w:ind w:left="288" w:hanging="173"/>
      </w:pPr>
      <w:r>
        <w:rPr>
          <w:sz w:val="17"/>
        </w:rPr>
        <w:t>Quarterly drawdowns and expenditure history;</w:t>
      </w:r>
    </w:p>
    <w:p>
      <w:pPr>
        <w:pStyle w:val="ListBullet"/>
        <w:spacing w:after="0"/>
        <w:ind w:left="288" w:hanging="173"/>
      </w:pPr>
      <w:r>
        <w:rPr>
          <w:sz w:val="17"/>
        </w:rPr>
        <w:t>APR timeliness;</w:t>
      </w:r>
    </w:p>
    <w:p>
      <w:pPr>
        <w:pStyle w:val="ListBullet"/>
        <w:spacing w:after="0"/>
        <w:ind w:left="288" w:hanging="173"/>
      </w:pPr>
      <w:r>
        <w:rPr>
          <w:sz w:val="17"/>
        </w:rPr>
        <w:t>HMIS or comparable-database timeliness and data quality;</w:t>
      </w:r>
    </w:p>
    <w:p>
      <w:pPr>
        <w:pStyle w:val="ListBullet"/>
        <w:spacing w:after="0"/>
        <w:ind w:left="288" w:hanging="173"/>
      </w:pPr>
      <w:r>
        <w:rPr>
          <w:sz w:val="17"/>
        </w:rPr>
        <w:t>Participation in Coordinated Entry and CoC activities;</w:t>
      </w:r>
    </w:p>
    <w:p>
      <w:pPr>
        <w:pStyle w:val="ListBullet"/>
        <w:spacing w:after="0"/>
        <w:ind w:left="288" w:hanging="173"/>
      </w:pPr>
      <w:r>
        <w:rPr>
          <w:sz w:val="17"/>
        </w:rPr>
        <w:t>Housing stability, permanent destinations, returns to homelessness, income, and other component-appropriate outcomes;</w:t>
      </w:r>
    </w:p>
    <w:p>
      <w:pPr>
        <w:pStyle w:val="ListBullet"/>
        <w:spacing w:after="0"/>
        <w:ind w:left="288" w:hanging="173"/>
      </w:pPr>
      <w:r>
        <w:rPr>
          <w:sz w:val="17"/>
        </w:rPr>
        <w:t>Cost effectiveness and reasonableness;</w:t>
      </w:r>
    </w:p>
    <w:p>
      <w:pPr>
        <w:pStyle w:val="ListBullet"/>
        <w:spacing w:after="0"/>
        <w:ind w:left="288" w:hanging="173"/>
      </w:pPr>
      <w:r>
        <w:rPr>
          <w:sz w:val="17"/>
        </w:rPr>
        <w:t>Monitoring, audit, financial-management, and compliance history;</w:t>
      </w:r>
    </w:p>
    <w:p>
      <w:pPr>
        <w:pStyle w:val="ListBullet"/>
        <w:spacing w:after="0"/>
        <w:ind w:left="288" w:hanging="173"/>
      </w:pPr>
      <w:r>
        <w:rPr>
          <w:sz w:val="17"/>
        </w:rPr>
        <w:t>Responsiveness to technical assistance;</w:t>
      </w:r>
    </w:p>
    <w:p>
      <w:pPr>
        <w:pStyle w:val="ListBullet"/>
        <w:spacing w:after="0"/>
        <w:ind w:left="288" w:hanging="173"/>
      </w:pPr>
      <w:r>
        <w:rPr>
          <w:sz w:val="17"/>
        </w:rPr>
        <w:t>System coordination and contribution to PA-508 performance; and</w:t>
      </w:r>
    </w:p>
    <w:p>
      <w:pPr>
        <w:pStyle w:val="ListBullet"/>
        <w:spacing w:after="0"/>
        <w:ind w:left="288" w:hanging="173"/>
      </w:pPr>
      <w:r>
        <w:rPr>
          <w:sz w:val="17"/>
        </w:rPr>
        <w:t>Alignment with HUD and local priorities.</w:t>
      </w:r>
    </w:p>
    <w:p>
      <w:pPr>
        <w:pageBreakBefore/>
        <w:spacing w:before="120" w:after="40"/>
      </w:pPr>
      <w:r>
        <w:rPr>
          <w:b/>
          <w:color w:val="17365D"/>
          <w:sz w:val="22"/>
        </w:rPr>
        <w:t>Renewal Data Preparation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701"/>
        <w:gridCol w:w="7091"/>
      </w:tblGrid>
      <w:tr>
        <w:tc>
          <w:tcPr>
            <w:tcW w:type="dxa" w:w="2701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SOURCE</w:t>
            </w:r>
          </w:p>
        </w:tc>
        <w:tc>
          <w:tcPr>
            <w:tcW w:type="dxa" w:w="7091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APPLICANT PREPARATION</w:t>
            </w:r>
          </w:p>
        </w:tc>
      </w:tr>
      <w:tr>
        <w:trPr>
          <w:cantSplit/>
        </w:trPr>
        <w:tc>
          <w:tcPr>
            <w:tcW w:type="dxa" w:w="270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APR</w:t>
            </w:r>
          </w:p>
        </w:tc>
        <w:tc>
          <w:tcPr>
            <w:tcW w:type="dxa" w:w="709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Use the most recently completed APR period identified by PA-508.</w:t>
            </w:r>
          </w:p>
        </w:tc>
      </w:tr>
      <w:tr>
        <w:trPr>
          <w:cantSplit/>
        </w:trPr>
        <w:tc>
          <w:tcPr>
            <w:tcW w:type="dxa" w:w="270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HMIS or Comparable Database</w:t>
            </w:r>
          </w:p>
        </w:tc>
        <w:tc>
          <w:tcPr>
            <w:tcW w:type="dxa" w:w="709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Confirm data timeliness, data quality, entry/exit records, and outcome reports.</w:t>
            </w:r>
          </w:p>
        </w:tc>
      </w:tr>
      <w:tr>
        <w:trPr>
          <w:cantSplit/>
        </w:trPr>
        <w:tc>
          <w:tcPr>
            <w:tcW w:type="dxa" w:w="270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Financial Records</w:t>
            </w:r>
          </w:p>
        </w:tc>
        <w:tc>
          <w:tcPr>
            <w:tcW w:type="dxa" w:w="709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Confirm award, draws, expenditures, unspent balances, and quarterly draw history.</w:t>
            </w:r>
          </w:p>
        </w:tc>
      </w:tr>
      <w:tr>
        <w:trPr>
          <w:cantSplit/>
        </w:trPr>
        <w:tc>
          <w:tcPr>
            <w:tcW w:type="dxa" w:w="270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Monitoring and Audit Records</w:t>
            </w:r>
          </w:p>
        </w:tc>
        <w:tc>
          <w:tcPr>
            <w:tcW w:type="dxa" w:w="709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Identify findings, corrective actions, status, and resolution dates.</w:t>
            </w:r>
          </w:p>
        </w:tc>
      </w:tr>
      <w:tr>
        <w:trPr>
          <w:cantSplit/>
        </w:trPr>
        <w:tc>
          <w:tcPr>
            <w:tcW w:type="dxa" w:w="270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Coordinated Entry</w:t>
            </w:r>
          </w:p>
        </w:tc>
        <w:tc>
          <w:tcPr>
            <w:tcW w:type="dxa" w:w="7091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Document participation, referrals, acceptance rate, and applicable victim-service-provider exception.</w:t>
            </w:r>
          </w:p>
        </w:tc>
      </w:tr>
      <w:tr>
        <w:trPr>
          <w:cantSplit/>
        </w:trPr>
        <w:tc>
          <w:tcPr>
            <w:tcW w:type="dxa" w:w="270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Outcome Data</w:t>
            </w:r>
          </w:p>
        </w:tc>
        <w:tc>
          <w:tcPr>
            <w:tcW w:type="dxa" w:w="7091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Verify numerators, denominators, reporting period, and the project component definition used.</w:t>
            </w:r>
          </w:p>
        </w:tc>
      </w:tr>
    </w:tbl>
    <w:p>
      <w:pPr>
        <w:spacing w:before="120" w:after="40"/>
      </w:pPr>
      <w:r>
        <w:rPr>
          <w:b/>
          <w:color w:val="17365D"/>
          <w:sz w:val="22"/>
        </w:rPr>
        <w:t>Reallocation Risk</w:t>
      </w:r>
    </w:p>
    <w:p>
      <w:pPr>
        <w:spacing w:after="40"/>
      </w:pPr>
      <w:r>
        <w:rPr>
          <w:sz w:val="17"/>
        </w:rPr>
        <w:t>PA-508 may reduce or reallocate an eligible renewal based on objective review and system priorities. Lower scoring, poor-performing, under-spending, noncompliant, or less cost-effective projects may be placed below higher-performing new or renewal projects.</w:t>
      </w:r>
    </w:p>
    <w:p>
      <w:pPr>
        <w:spacing w:after="40"/>
      </w:pPr>
      <w:r>
        <w:rPr>
          <w:sz w:val="17"/>
        </w:rPr>
        <w:t>A project proposed for reduction, rejection, or involuntary reallocation will receive notice and an opportunity to request reconsideration under the published policy. Reconsideration is not an opportunity to submit a rewritten application.</w:t>
      </w:r>
    </w:p>
    <w:p>
      <w:pPr>
        <w:spacing w:before="120" w:after="40"/>
      </w:pPr>
      <w:r>
        <w:rPr>
          <w:b/>
          <w:color w:val="17365D"/>
          <w:sz w:val="22"/>
        </w:rPr>
        <w:t>Renewal Submission Checklist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827"/>
        <w:gridCol w:w="965"/>
      </w:tblGrid>
      <w:tr>
        <w:tc>
          <w:tcPr>
            <w:tcW w:type="dxa" w:w="8827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ITEM</w:t>
            </w:r>
          </w:p>
        </w:tc>
        <w:tc>
          <w:tcPr>
            <w:tcW w:type="dxa" w:w="965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CHECK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Signed local application and renewal supplement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Most recent APR or PA-508-approved performance report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HMIS/comparable-database data reports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Drawdown and expenditure documentation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Monitoring and audit status documentation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Current grant agreement and amendments, if requested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Budget request and explanation of changes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Match and leverage documentation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Coordinated Entry participation documentation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Required certifications and signature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4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66666"/>
        <w:sz w:val="14"/>
      </w:rPr>
      <w:t>PA-508 Scranton/Lackawanna County Continuum of Care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