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7365D"/>
          <w:sz w:val="18"/>
        </w:rPr>
        <w:t>FY 2026 PA-508 LOCAL COMPETITION</w:t>
      </w:r>
    </w:p>
    <w:p>
      <w:pPr>
        <w:spacing w:after="100"/>
        <w:jc w:val="center"/>
      </w:pPr>
      <w:r>
        <w:rPr>
          <w:b/>
          <w:color w:val="17365D"/>
          <w:sz w:val="34"/>
        </w:rPr>
        <w:t>Applicant Checklist, Timeline, and FAQ</w:t>
      </w:r>
    </w:p>
    <w:tbl>
      <w:tblPr>
        <w:tblW w:type="dxa" w:w="9792"/>
        <w:jc w:val="center"/>
        <w:tblLook w:firstColumn="1" w:firstRow="1" w:lastColumn="0" w:lastRow="0" w:noHBand="0" w:noVBand="1" w:val="04A0"/>
        <w:tblLayout w:type="fixed"/>
        <w:tblInd w:w="0" w:type="dxa"/>
      </w:tblPr>
      <w:tblGrid>
        <w:gridCol w:w="9792"/>
      </w:tblGrid>
      <w:tr>
        <w:tc>
          <w:tcPr>
            <w:tcW w:type="dxa" w:w="9792"/>
            <w:shd w:fill="FFF2CC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0"/>
            </w:pPr>
            <w:r>
              <w:rPr>
                <w:sz w:val="17"/>
              </w:rPr>
              <w:t>Keep this document beside the application during preparation and final submission.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Public Competition Timeline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69"/>
        <w:gridCol w:w="7023"/>
      </w:tblGrid>
      <w:tr>
        <w:tc>
          <w:tcPr>
            <w:tcW w:type="dxa" w:w="2769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type="dxa" w:w="7023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ACTIVITY</w:t>
            </w:r>
          </w:p>
        </w:tc>
      </w:tr>
      <w:tr>
        <w:trPr>
          <w:cantSplit/>
        </w:trPr>
        <w:tc>
          <w:tcPr>
            <w:tcW w:type="dxa" w:w="276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July 14, 2026</w:t>
            </w:r>
          </w:p>
        </w:tc>
        <w:tc>
          <w:tcPr>
            <w:tcW w:type="dxa" w:w="702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Competition materials published</w:t>
            </w:r>
          </w:p>
        </w:tc>
      </w:tr>
      <w:tr>
        <w:trPr>
          <w:cantSplit/>
        </w:trPr>
        <w:tc>
          <w:tcPr>
            <w:tcW w:type="dxa" w:w="276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July 16, 2026</w:t>
            </w:r>
          </w:p>
        </w:tc>
        <w:tc>
          <w:tcPr>
            <w:tcW w:type="dxa" w:w="702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Board review and ratification of revised materials</w:t>
            </w:r>
          </w:p>
        </w:tc>
      </w:tr>
      <w:tr>
        <w:trPr>
          <w:cantSplit/>
        </w:trPr>
        <w:tc>
          <w:tcPr>
            <w:tcW w:type="dxa" w:w="276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July 21, 2026, 10:00 a.m. ET</w:t>
            </w:r>
          </w:p>
        </w:tc>
        <w:tc>
          <w:tcPr>
            <w:tcW w:type="dxa" w:w="702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Public meeting and applicant training</w:t>
            </w:r>
          </w:p>
        </w:tc>
      </w:tr>
      <w:tr>
        <w:trPr>
          <w:cantSplit/>
        </w:trPr>
        <w:tc>
          <w:tcPr>
            <w:tcW w:type="dxa" w:w="276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July 24, 2026</w:t>
            </w:r>
          </w:p>
        </w:tc>
        <w:tc>
          <w:tcPr>
            <w:tcW w:type="dxa" w:w="702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Deadline for written questions</w:t>
            </w:r>
          </w:p>
        </w:tc>
      </w:tr>
      <w:tr>
        <w:trPr>
          <w:cantSplit/>
        </w:trPr>
        <w:tc>
          <w:tcPr>
            <w:tcW w:type="dxa" w:w="276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July 27, 2026</w:t>
            </w:r>
          </w:p>
        </w:tc>
        <w:tc>
          <w:tcPr>
            <w:tcW w:type="dxa" w:w="702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Final FAQ posted</w:t>
            </w:r>
          </w:p>
        </w:tc>
      </w:tr>
      <w:tr>
        <w:trPr>
          <w:cantSplit/>
        </w:trPr>
        <w:tc>
          <w:tcPr>
            <w:tcW w:type="dxa" w:w="276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July 31, 2026, 11:59 p.m. ET</w:t>
            </w:r>
          </w:p>
        </w:tc>
        <w:tc>
          <w:tcPr>
            <w:tcW w:type="dxa" w:w="702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Local application deadline</w:t>
            </w:r>
          </w:p>
        </w:tc>
      </w:tr>
      <w:tr>
        <w:trPr>
          <w:cantSplit/>
        </w:trPr>
        <w:tc>
          <w:tcPr>
            <w:tcW w:type="dxa" w:w="276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1-3, 2026</w:t>
            </w:r>
          </w:p>
        </w:tc>
        <w:tc>
          <w:tcPr>
            <w:tcW w:type="dxa" w:w="702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Completeness and threshold review</w:t>
            </w:r>
          </w:p>
        </w:tc>
      </w:tr>
      <w:tr>
        <w:trPr>
          <w:cantSplit/>
        </w:trPr>
        <w:tc>
          <w:tcPr>
            <w:tcW w:type="dxa" w:w="276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4-6, 2026</w:t>
            </w:r>
          </w:p>
        </w:tc>
        <w:tc>
          <w:tcPr>
            <w:tcW w:type="dxa" w:w="702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Independent review and scoring</w:t>
            </w:r>
          </w:p>
        </w:tc>
      </w:tr>
      <w:tr>
        <w:trPr>
          <w:cantSplit/>
        </w:trPr>
        <w:tc>
          <w:tcPr>
            <w:tcW w:type="dxa" w:w="276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7, 2026</w:t>
            </w:r>
          </w:p>
        </w:tc>
        <w:tc>
          <w:tcPr>
            <w:tcW w:type="dxa" w:w="702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Preliminary decisions</w:t>
            </w:r>
          </w:p>
        </w:tc>
      </w:tr>
      <w:tr>
        <w:trPr>
          <w:cantSplit/>
        </w:trPr>
        <w:tc>
          <w:tcPr>
            <w:tcW w:type="dxa" w:w="276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9, 2026, 5:00 p.m. ET</w:t>
            </w:r>
          </w:p>
        </w:tc>
        <w:tc>
          <w:tcPr>
            <w:tcW w:type="dxa" w:w="702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Reconsideration deadline</w:t>
            </w:r>
          </w:p>
        </w:tc>
      </w:tr>
      <w:tr>
        <w:trPr>
          <w:cantSplit/>
        </w:trPr>
        <w:tc>
          <w:tcPr>
            <w:tcW w:type="dxa" w:w="276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10, 2026</w:t>
            </w:r>
          </w:p>
        </w:tc>
        <w:tc>
          <w:tcPr>
            <w:tcW w:type="dxa" w:w="702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Final written notices and rankings</w:t>
            </w:r>
          </w:p>
        </w:tc>
      </w:tr>
      <w:tr>
        <w:trPr>
          <w:cantSplit/>
        </w:trPr>
        <w:tc>
          <w:tcPr>
            <w:tcW w:type="dxa" w:w="276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11-17, 2026</w:t>
            </w:r>
          </w:p>
        </w:tc>
        <w:tc>
          <w:tcPr>
            <w:tcW w:type="dxa" w:w="702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Selected applicants complete or revise e-snaps applications</w:t>
            </w:r>
          </w:p>
        </w:tc>
      </w:tr>
      <w:tr>
        <w:trPr>
          <w:cantSplit/>
        </w:trPr>
        <w:tc>
          <w:tcPr>
            <w:tcW w:type="dxa" w:w="276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24, 2026</w:t>
            </w:r>
          </w:p>
        </w:tc>
        <w:tc>
          <w:tcPr>
            <w:tcW w:type="dxa" w:w="702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CoC application and Priority Listing posted publicly</w:t>
            </w:r>
          </w:p>
        </w:tc>
      </w:tr>
      <w:tr>
        <w:trPr>
          <w:cantSplit/>
        </w:trPr>
        <w:tc>
          <w:tcPr>
            <w:tcW w:type="dxa" w:w="276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August 26, 2026, 8:00 p.m. ET</w:t>
            </w:r>
          </w:p>
        </w:tc>
        <w:tc>
          <w:tcPr>
            <w:tcW w:type="dxa" w:w="702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HUD submission deadline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Final Submission Checklist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827"/>
        <w:gridCol w:w="965"/>
      </w:tblGrid>
      <w:tr>
        <w:tc>
          <w:tcPr>
            <w:tcW w:type="dxa" w:w="8827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FINAL CHECK</w:t>
            </w:r>
          </w:p>
        </w:tc>
        <w:tc>
          <w:tcPr>
            <w:tcW w:type="dxa" w:w="965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DONE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Correct application type and component selected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All required fields completed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Narratives directly respond to the rubric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Budget totals are correct and eligible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Administrative costs are 10% or less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Match requirement is met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FMR and rental-assistance rules are applied correctly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Required attachments are included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SAM.gov registration and UEI are current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Authorized signature is complete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File names are clear and documents are not password protected</w:t>
            </w:r>
          </w:p>
        </w:tc>
        <w:tc>
          <w:tcPr>
            <w:tcW w:type="dxa" w:w="965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8827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Submission completed before 11:59 p.m. ET on July 31</w:t>
            </w:r>
          </w:p>
        </w:tc>
        <w:tc>
          <w:tcPr>
            <w:tcW w:type="dxa" w:w="965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☐</w:t>
            </w:r>
          </w:p>
        </w:tc>
      </w:tr>
    </w:tbl>
    <w:p>
      <w:pPr>
        <w:pageBreakBefore/>
        <w:spacing w:before="120" w:after="40"/>
      </w:pPr>
      <w:r>
        <w:rPr>
          <w:b/>
          <w:color w:val="17365D"/>
          <w:sz w:val="22"/>
        </w:rPr>
        <w:t>Frequently Asked Questions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579"/>
        <w:gridCol w:w="6213"/>
      </w:tblGrid>
      <w:tr>
        <w:tc>
          <w:tcPr>
            <w:tcW w:type="dxa" w:w="3579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QUESTION</w:t>
            </w:r>
          </w:p>
        </w:tc>
        <w:tc>
          <w:tcPr>
            <w:tcW w:type="dxa" w:w="6213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15"/>
              </w:rPr>
              <w:t>ANSWER</w:t>
            </w:r>
          </w:p>
        </w:tc>
      </w:tr>
      <w:tr>
        <w:trPr>
          <w:cantSplit/>
        </w:trPr>
        <w:tc>
          <w:tcPr>
            <w:tcW w:type="dxa" w:w="357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Are new RRH projects required to use master leasing?</w:t>
            </w:r>
          </w:p>
        </w:tc>
        <w:tc>
          <w:tcPr>
            <w:tcW w:type="dxa" w:w="621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No. Standard new PH-RRH projects use tenant-based rental assistance.</w:t>
            </w:r>
          </w:p>
        </w:tc>
      </w:tr>
      <w:tr>
        <w:trPr>
          <w:cantSplit/>
        </w:trPr>
        <w:tc>
          <w:tcPr>
            <w:tcW w:type="dxa" w:w="357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May an existing RRH renewal keep rental assistance?</w:t>
            </w:r>
          </w:p>
        </w:tc>
        <w:tc>
          <w:tcPr>
            <w:tcW w:type="dxa" w:w="621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Yes. An eligible renewal may continue its approved rental-assistance structure.</w:t>
            </w:r>
          </w:p>
        </w:tc>
      </w:tr>
      <w:tr>
        <w:trPr>
          <w:cantSplit/>
        </w:trPr>
        <w:tc>
          <w:tcPr>
            <w:tcW w:type="dxa" w:w="357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May a new rental-assistance project request actual rent below FMR?</w:t>
            </w:r>
          </w:p>
        </w:tc>
        <w:tc>
          <w:tcPr>
            <w:tcW w:type="dxa" w:w="621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No. New rental-assistance applications request the full applicable FMR per unit. Eligible renewals may request actual per-unit costs below FMR.</w:t>
            </w:r>
          </w:p>
        </w:tc>
      </w:tr>
      <w:tr>
        <w:trPr>
          <w:cantSplit/>
        </w:trPr>
        <w:tc>
          <w:tcPr>
            <w:tcW w:type="dxa" w:w="357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May a new Joint TH/PH-RRH project apply?</w:t>
            </w:r>
          </w:p>
        </w:tc>
        <w:tc>
          <w:tcPr>
            <w:tcW w:type="dxa" w:w="621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No. HUD will accept renewal Joint TH/PH-RRH projects but not new Joint TH/PH-RRH applications in FY 2026.</w:t>
            </w:r>
          </w:p>
        </w:tc>
      </w:tr>
      <w:tr>
        <w:trPr>
          <w:cantSplit/>
        </w:trPr>
        <w:tc>
          <w:tcPr>
            <w:tcW w:type="dxa" w:w="357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Is match required?</w:t>
            </w:r>
          </w:p>
        </w:tc>
        <w:tc>
          <w:tcPr>
            <w:tcW w:type="dxa" w:w="621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Yes. A 25% match applies to all grant funds except leasing.</w:t>
            </w:r>
          </w:p>
        </w:tc>
      </w:tr>
      <w:tr>
        <w:trPr>
          <w:cantSplit/>
        </w:trPr>
        <w:tc>
          <w:tcPr>
            <w:tcW w:type="dxa" w:w="357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Can administrative costs exceed 10%?</w:t>
            </w:r>
          </w:p>
        </w:tc>
        <w:tc>
          <w:tcPr>
            <w:tcW w:type="dxa" w:w="621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No.</w:t>
            </w:r>
          </w:p>
        </w:tc>
      </w:tr>
      <w:tr>
        <w:trPr>
          <w:cantSplit/>
        </w:trPr>
        <w:tc>
          <w:tcPr>
            <w:tcW w:type="dxa" w:w="357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Can a renewal change components in the renewal application?</w:t>
            </w:r>
          </w:p>
        </w:tc>
        <w:tc>
          <w:tcPr>
            <w:tcW w:type="dxa" w:w="621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Not as an ordinary renewal. Use an eligible transition or replacement process.</w:t>
            </w:r>
          </w:p>
        </w:tc>
      </w:tr>
      <w:tr>
        <w:trPr>
          <w:cantSplit/>
        </w:trPr>
        <w:tc>
          <w:tcPr>
            <w:tcW w:type="dxa" w:w="357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Can a project apply for both renewal and expansion?</w:t>
            </w:r>
          </w:p>
        </w:tc>
        <w:tc>
          <w:tcPr>
            <w:tcW w:type="dxa" w:w="621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Yes, when eligible. The expansion is a separate new application and receives a separate rank.</w:t>
            </w:r>
          </w:p>
        </w:tc>
      </w:tr>
      <w:tr>
        <w:trPr>
          <w:cantSplit/>
        </w:trPr>
        <w:tc>
          <w:tcPr>
            <w:tcW w:type="dxa" w:w="357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Will PA-508 accept late applications?</w:t>
            </w:r>
          </w:p>
        </w:tc>
        <w:tc>
          <w:tcPr>
            <w:tcW w:type="dxa" w:w="621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Applicants should assume no. Submit early enough to confirm receipt.</w:t>
            </w:r>
          </w:p>
        </w:tc>
      </w:tr>
      <w:tr>
        <w:trPr>
          <w:cantSplit/>
        </w:trPr>
        <w:tc>
          <w:tcPr>
            <w:tcW w:type="dxa" w:w="357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May an applicant correct the application after the deadline?</w:t>
            </w:r>
          </w:p>
        </w:tc>
        <w:tc>
          <w:tcPr>
            <w:tcW w:type="dxa" w:w="621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Do not assume substantive corrections or missing information will be accepted. Submit a complete application by the deadline.</w:t>
            </w:r>
          </w:p>
        </w:tc>
      </w:tr>
      <w:tr>
        <w:trPr>
          <w:cantSplit/>
        </w:trPr>
        <w:tc>
          <w:tcPr>
            <w:tcW w:type="dxa" w:w="3579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What may be reconsidered?</w:t>
            </w:r>
          </w:p>
        </w:tc>
        <w:tc>
          <w:tcPr>
            <w:tcW w:type="dxa" w:w="6213"/>
            <w:shd w:fill="FFFFFF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Factual, mathematical, conflict-of-interest, or procedural errors under the published policy.</w:t>
            </w:r>
          </w:p>
        </w:tc>
      </w:tr>
      <w:tr>
        <w:trPr>
          <w:cantSplit/>
        </w:trPr>
        <w:tc>
          <w:tcPr>
            <w:tcW w:type="dxa" w:w="3579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Does local selection guarantee funding?</w:t>
            </w:r>
          </w:p>
        </w:tc>
        <w:tc>
          <w:tcPr>
            <w:tcW w:type="dxa" w:w="6213"/>
            <w:shd w:fill="F2F2F2"/>
            <w:tcMar>
              <w:top w:w="45" w:type="dxa"/>
              <w:start w:w="55" w:type="dxa"/>
              <w:bottom w:w="45" w:type="dxa"/>
              <w:end w:w="55" w:type="dxa"/>
            </w:tcMar>
            <w:vAlign w:val="top"/>
          </w:tcPr>
          <w:p>
            <w:pPr>
              <w:spacing w:after="0"/>
            </w:pPr>
            <w:r>
              <w:rPr>
                <w:sz w:val="16"/>
              </w:rPr>
              <w:t>No. HUD completes its own threshold, risk, merit, and selection review.</w:t>
            </w:r>
          </w:p>
        </w:tc>
      </w:tr>
    </w:tbl>
    <w:p>
      <w:pPr>
        <w:spacing w:before="120" w:after="40"/>
      </w:pPr>
      <w:r>
        <w:rPr>
          <w:b/>
          <w:color w:val="17365D"/>
          <w:sz w:val="22"/>
        </w:rPr>
        <w:t>Written Questions</w:t>
      </w:r>
    </w:p>
    <w:p>
      <w:pPr>
        <w:spacing w:after="40"/>
      </w:pPr>
      <w:r>
        <w:rPr>
          <w:sz w:val="17"/>
        </w:rPr>
        <w:t>Submit competition questions to Alex Lester at alester@uncnepa.org by the published deadline. Questions and responses that may affect multiple applicants should be shared with all applicants.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4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66666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